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48D" w:rsidRDefault="00D6448D">
      <w:pPr>
        <w:pStyle w:val="ConsPlusNormal"/>
        <w:rPr>
          <w:rFonts w:ascii="Times New Roman" w:hAnsi="Times New Roman" w:cs="Times New Roman"/>
          <w:b/>
          <w:sz w:val="20"/>
          <w:lang w:val="en-US"/>
        </w:rPr>
      </w:pPr>
    </w:p>
    <w:p w:rsidR="00D6448D" w:rsidRDefault="00231CB6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Приложение 1</w:t>
      </w:r>
    </w:p>
    <w:p w:rsidR="00D6448D" w:rsidRDefault="00231CB6">
      <w:pPr>
        <w:pStyle w:val="ConsPlusNormal"/>
        <w:jc w:val="center"/>
        <w:rPr>
          <w:rFonts w:ascii="Times New Roman" w:hAnsi="Times New Roman" w:cs="Times New Roman"/>
          <w:b/>
          <w:color w:val="002060"/>
          <w:szCs w:val="22"/>
        </w:rPr>
      </w:pPr>
      <w:r>
        <w:rPr>
          <w:rFonts w:ascii="Times New Roman" w:hAnsi="Times New Roman" w:cs="Times New Roman"/>
          <w:b/>
          <w:color w:val="002060"/>
          <w:szCs w:val="22"/>
        </w:rPr>
        <w:t>ОТЧЕТ</w:t>
      </w:r>
    </w:p>
    <w:p w:rsidR="00D6448D" w:rsidRDefault="00231CB6">
      <w:pPr>
        <w:pStyle w:val="ConsPlusNormal"/>
        <w:jc w:val="center"/>
        <w:rPr>
          <w:rFonts w:ascii="Times New Roman" w:hAnsi="Times New Roman" w:cs="Times New Roman"/>
          <w:b/>
          <w:color w:val="002060"/>
          <w:szCs w:val="22"/>
        </w:rPr>
      </w:pPr>
      <w:r>
        <w:rPr>
          <w:rFonts w:ascii="Times New Roman" w:hAnsi="Times New Roman" w:cs="Times New Roman"/>
          <w:b/>
          <w:color w:val="002060"/>
          <w:szCs w:val="22"/>
        </w:rPr>
        <w:t xml:space="preserve">О СОБЛЮДЕНИИ ПРИНЦИПОВ И РЕКОМЕНДАЦИЙ </w:t>
      </w:r>
    </w:p>
    <w:p w:rsidR="00D6448D" w:rsidRDefault="00231CB6">
      <w:pPr>
        <w:pStyle w:val="ConsPlusNormal"/>
        <w:jc w:val="center"/>
        <w:rPr>
          <w:rFonts w:ascii="Times New Roman" w:hAnsi="Times New Roman" w:cs="Times New Roman"/>
          <w:b/>
          <w:color w:val="002060"/>
          <w:szCs w:val="22"/>
        </w:rPr>
      </w:pPr>
      <w:r>
        <w:rPr>
          <w:rFonts w:ascii="Times New Roman" w:hAnsi="Times New Roman" w:cs="Times New Roman"/>
          <w:b/>
          <w:color w:val="002060"/>
          <w:szCs w:val="22"/>
        </w:rPr>
        <w:t>КОДЕКСА КОРПОРАТИВНОГО УПРАВЛЕНИЯ БАНКА РОССИИ</w:t>
      </w:r>
    </w:p>
    <w:p w:rsidR="00D6448D" w:rsidRDefault="00D6448D">
      <w:pPr>
        <w:pStyle w:val="ConsPlusNormal"/>
        <w:jc w:val="both"/>
        <w:rPr>
          <w:sz w:val="10"/>
          <w:szCs w:val="10"/>
        </w:rPr>
      </w:pPr>
    </w:p>
    <w:p w:rsidR="00D6448D" w:rsidRDefault="00231CB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Настоящий Отчет о соблюдении принципов и рекомендаций </w:t>
      </w:r>
      <w:hyperlink r:id="rId8" w:tooltip="consultantplus://offline/ref=43E907608C0590FA2BFD773258A07D8937ECFD7FDCB5D1BB5241CF758768F780D0982C378C0F93B0M6EAH" w:history="1">
        <w:r>
          <w:rPr>
            <w:rFonts w:ascii="Times New Roman" w:hAnsi="Times New Roman" w:cs="Times New Roman"/>
          </w:rPr>
          <w:t>Кодекса</w:t>
        </w:r>
      </w:hyperlink>
      <w:r>
        <w:rPr>
          <w:rFonts w:ascii="Times New Roman" w:hAnsi="Times New Roman" w:cs="Times New Roman"/>
        </w:rPr>
        <w:t xml:space="preserve"> корпоративного управления, утвержденного Советом директоров Банка России 21.03.2014 и рекомендованного письмом Банка России от 10.04.2014 </w:t>
      </w:r>
      <w:r>
        <w:rPr>
          <w:rFonts w:ascii="Times New Roman" w:hAnsi="Times New Roman" w:cs="Times New Roman"/>
        </w:rPr>
        <w:br/>
        <w:t>№ 06-52/2463) к применению акционерными обществами, ценные бумаги которых допущены к организованным торгам, рассмотр</w:t>
      </w:r>
      <w:r>
        <w:rPr>
          <w:rFonts w:ascii="Times New Roman" w:hAnsi="Times New Roman" w:cs="Times New Roman"/>
        </w:rPr>
        <w:t>ен Советом директоров ПАО «Россети Волга» 13</w:t>
      </w:r>
      <w:r>
        <w:rPr>
          <w:rFonts w:ascii="Times New Roman" w:hAnsi="Times New Roman" w:cs="Times New Roman"/>
        </w:rPr>
        <w:t>.05.2026 (протокол от 14</w:t>
      </w:r>
      <w:r>
        <w:rPr>
          <w:rFonts w:ascii="Times New Roman" w:hAnsi="Times New Roman" w:cs="Times New Roman"/>
        </w:rPr>
        <w:t>.05.2026 № 26</w:t>
      </w:r>
      <w:bookmarkStart w:id="0" w:name="_GoBack"/>
      <w:bookmarkEnd w:id="0"/>
      <w:r>
        <w:rPr>
          <w:rFonts w:ascii="Times New Roman" w:hAnsi="Times New Roman" w:cs="Times New Roman"/>
        </w:rPr>
        <w:t>).</w:t>
      </w:r>
    </w:p>
    <w:p w:rsidR="00D6448D" w:rsidRDefault="00231CB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Совет директоров ПАО «Россети Волга» подтверждает, что приведенные в настоящем Отчете данные содержат полную и достоверную информацию о соблюдении Обществом принципов и рек</w:t>
      </w:r>
      <w:r>
        <w:rPr>
          <w:rFonts w:ascii="Times New Roman" w:hAnsi="Times New Roman" w:cs="Times New Roman"/>
        </w:rPr>
        <w:t xml:space="preserve">омендаций </w:t>
      </w:r>
      <w:hyperlink r:id="rId9" w:tooltip="consultantplus://offline/ref=43E907608C0590FA2BFD773258A07D8937ECFD7FDCB5D1BB5241CF758768F780D0982C378C0F93B0M6EAH" w:history="1">
        <w:r>
          <w:rPr>
            <w:rFonts w:ascii="Times New Roman" w:hAnsi="Times New Roman" w:cs="Times New Roman"/>
          </w:rPr>
          <w:t>Кодекса</w:t>
        </w:r>
      </w:hyperlink>
      <w:r>
        <w:rPr>
          <w:rFonts w:ascii="Times New Roman" w:hAnsi="Times New Roman" w:cs="Times New Roman"/>
        </w:rPr>
        <w:t xml:space="preserve"> корпоративного управления Банка России за 2025 год.</w:t>
      </w:r>
    </w:p>
    <w:p w:rsidR="00D6448D" w:rsidRDefault="00231CB6">
      <w:pPr>
        <w:pStyle w:val="ConsPlusNormal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Оценка соблюдения принципов и рекомендаций Кодекса корпоративного управления осуществляется ПАО «Россети Волга» на основании Методики, рекомендованной Банком России письмом от 27.12.2021 № ИН</w:t>
      </w:r>
      <w:r>
        <w:rPr>
          <w:rFonts w:ascii="Times New Roman" w:hAnsi="Times New Roman" w:cs="Times New Roman"/>
        </w:rPr>
        <w:t>‑06-28/102 «О раскрытии в годовом отчете публичного акционерного общества отчета о соблюдении принципов и рекомендаций Кодекса корпоративного управления».</w:t>
      </w:r>
    </w:p>
    <w:p w:rsidR="00D6448D" w:rsidRDefault="00D6448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2147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3"/>
        <w:gridCol w:w="4679"/>
        <w:gridCol w:w="6378"/>
        <w:gridCol w:w="148"/>
        <w:gridCol w:w="423"/>
        <w:gridCol w:w="2548"/>
        <w:gridCol w:w="8"/>
        <w:gridCol w:w="6512"/>
      </w:tblGrid>
      <w:tr w:rsidR="00D6448D" w:rsidRPr="00231CB6"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448D" w:rsidRDefault="00D6448D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448D" w:rsidRDefault="00231C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Принципы корпоративного управления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448D" w:rsidRDefault="00231C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" w:name="P763"/>
            <w:bookmarkEnd w:id="1"/>
            <w:r>
              <w:rPr>
                <w:rFonts w:ascii="Times New Roman" w:hAnsi="Times New Roman" w:cs="Times New Roman"/>
                <w:sz w:val="20"/>
              </w:rPr>
              <w:t>Критерии оценки соблюдения принципа корпоративного управления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448D" w:rsidRDefault="00231C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2" w:name="P764"/>
            <w:bookmarkEnd w:id="2"/>
            <w:r>
              <w:rPr>
                <w:rFonts w:ascii="Times New Roman" w:hAnsi="Times New Roman" w:cs="Times New Roman"/>
                <w:sz w:val="20"/>
              </w:rPr>
              <w:t>Ст</w:t>
            </w:r>
            <w:r>
              <w:rPr>
                <w:rFonts w:ascii="Times New Roman" w:hAnsi="Times New Roman" w:cs="Times New Roman"/>
                <w:sz w:val="20"/>
              </w:rPr>
              <w:t>атус</w:t>
            </w:r>
          </w:p>
          <w:p w:rsidR="00D6448D" w:rsidRDefault="00231C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соответствия принципу корпоративного управления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448D" w:rsidRDefault="00231CB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3" w:name="P765"/>
            <w:bookmarkEnd w:id="3"/>
            <w:r>
              <w:rPr>
                <w:rFonts w:ascii="Times New Roman" w:hAnsi="Times New Roman" w:cs="Times New Roman"/>
                <w:sz w:val="20"/>
              </w:rPr>
              <w:t>Объяснения отклонения от критериев оценки соблюдения принципа корпоративного управления</w:t>
            </w:r>
          </w:p>
        </w:tc>
      </w:tr>
      <w:tr w:rsidR="00D6448D" w:rsidRPr="00231CB6"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2069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Общество должно обеспечивать равное и справедливое отношение ко всем акционерам при реализации ими права на </w:t>
            </w:r>
            <w:r>
              <w:rPr>
                <w:rFonts w:ascii="Times New Roman" w:hAnsi="Times New Roman" w:cs="Times New Roman"/>
                <w:b/>
                <w:sz w:val="20"/>
              </w:rPr>
              <w:t>участие в управлении Обществом.</w:t>
            </w:r>
          </w:p>
        </w:tc>
      </w:tr>
      <w:tr w:rsidR="00D6448D">
        <w:trPr>
          <w:trHeight w:val="57"/>
        </w:trPr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Общество создает для акционеров максимально благоприятные условия для участия в Общем собрании, условия для выработки обоснованной позиции по вопросам повестки дня Общего собрания, координации своих действий, а также </w:t>
            </w:r>
            <w:r>
              <w:rPr>
                <w:rFonts w:ascii="Times New Roman" w:hAnsi="Times New Roman" w:cs="Times New Roman"/>
                <w:sz w:val="20"/>
              </w:rPr>
              <w:t>возможность высказать свое мнение по рассматриваемым вопросам.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 Общество предоставляет доступный способ коммуникации с Обществом, такой как «горячая линия», электронная почта или форум в интернете, позволяющий акционерам высказать свое мнение и направить</w:t>
            </w:r>
            <w:r>
              <w:rPr>
                <w:rFonts w:ascii="Times New Roman" w:hAnsi="Times New Roman" w:cs="Times New Roman"/>
                <w:sz w:val="20"/>
              </w:rPr>
              <w:t xml:space="preserve"> вопросы в отношении повестки дня в процессе подготовки к проведению Общего собрания. Указанные способы коммуникации были организованы Обществом и предоставлены акционерам в ходе подготовки к проведению Общего собрания акционеров, прошедшего в отчетный пер</w:t>
            </w:r>
            <w:r>
              <w:rPr>
                <w:rFonts w:ascii="Times New Roman" w:hAnsi="Times New Roman" w:cs="Times New Roman"/>
                <w:sz w:val="20"/>
              </w:rPr>
              <w:t>иод..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48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87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shd w:val="clear" w:color="auto" w:fill="auto"/>
          </w:tcPr>
          <w:p w:rsidR="00D6448D" w:rsidRDefault="00D6448D">
            <w:pPr>
              <w:pStyle w:val="ConsPlusNormal"/>
              <w:ind w:right="5359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Порядок сообщения о проведении Общего собрания и предоставления материалов к Общему собранию дает акционерам возможность надлежащим образом подготовиться</w:t>
            </w:r>
            <w:r>
              <w:rPr>
                <w:rFonts w:ascii="Times New Roman" w:hAnsi="Times New Roman" w:cs="Times New Roman"/>
                <w:sz w:val="20"/>
              </w:rPr>
              <w:t xml:space="preserve"> к участию в нем.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 В отчетном периоде сообщение о проведении Общего собрания акционеров размещено (опубликовано) на сайте Общества в сети Интернет не менее, чем за 30 дней до даты проведения Общего собрания, если законодательством не предусмотрен больший</w:t>
            </w:r>
            <w:r>
              <w:rPr>
                <w:rFonts w:ascii="Times New Roman" w:hAnsi="Times New Roman" w:cs="Times New Roman"/>
                <w:sz w:val="20"/>
              </w:rPr>
              <w:t xml:space="preserve"> срок.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 В сообщении о проведении общего собрания указаны документы, необходимые для допуска в помещение.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 Акционерам был обеспечен доступ к информации о том, кем предложены вопросы повестки дня и кем выдвинуты кандидатуры в Совет директоров и ревизио</w:t>
            </w:r>
            <w:r>
              <w:rPr>
                <w:rFonts w:ascii="Times New Roman" w:hAnsi="Times New Roman" w:cs="Times New Roman"/>
                <w:sz w:val="20"/>
              </w:rPr>
              <w:t xml:space="preserve">нную комиссию Общества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(в случае, если ее формирование предусмотрено уставом Общества)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3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 w:val="restart"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 ходе подготовки и проведения Общего собрания акционеры должны иметь </w:t>
            </w:r>
            <w:r>
              <w:rPr>
                <w:rFonts w:ascii="Times New Roman" w:hAnsi="Times New Roman" w:cs="Times New Roman"/>
                <w:sz w:val="20"/>
              </w:rPr>
              <w:t>возможность беспрепятственно и своевременно получать информацию о собрании и материалы к нему, задавать вопросы исполнительным органам и членам Совета директоров Общества, общаться друг с другом.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 В отчетном периоде акционерам была предоставлена возможно</w:t>
            </w:r>
            <w:r>
              <w:rPr>
                <w:rFonts w:ascii="Times New Roman" w:hAnsi="Times New Roman" w:cs="Times New Roman"/>
                <w:sz w:val="20"/>
              </w:rPr>
              <w:t>сть задать вопросы членам исполнительных органов и членам Совета директоров Общества в период подготовки к собранию и в ходе проведения годового Общего собрания.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lang w:val="ru-RU"/>
              </w:rPr>
            </w:pPr>
          </w:p>
          <w:p w:rsidR="00D6448D" w:rsidRDefault="00D6448D">
            <w:pPr>
              <w:rPr>
                <w:lang w:val="ru-RU"/>
              </w:rPr>
            </w:pPr>
          </w:p>
          <w:p w:rsidR="00D6448D" w:rsidRDefault="00D6448D">
            <w:pPr>
              <w:rPr>
                <w:lang w:val="ru-RU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3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 w:val="restart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Позиция Совета директоров (включая внесенные в протокол </w:t>
            </w:r>
            <w:r>
              <w:rPr>
                <w:rFonts w:ascii="Times New Roman" w:hAnsi="Times New Roman" w:cs="Times New Roman"/>
                <w:sz w:val="20"/>
              </w:rPr>
              <w:t>особые мнения при наличии) по каждому вопросу повестки Общих собраний, проведенных в отчетный период, была включена в состав материалов к Общему собранию.</w:t>
            </w: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3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 w:val="restart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 Общество предоставляло акционерам, имеющим на это право, доступ к</w:t>
            </w:r>
            <w:r>
              <w:rPr>
                <w:rFonts w:ascii="Times New Roman" w:hAnsi="Times New Roman" w:cs="Times New Roman"/>
                <w:sz w:val="20"/>
              </w:rPr>
              <w:t xml:space="preserve"> списку лиц, имеющих право на участие в Общем собрании, начиная с даты получения его Обществом во всех случаях проведения общих собраний в отчетном периоде.</w:t>
            </w: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1.1.4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Реализация права акционера требовать созыва Общего собрания, </w:t>
            </w:r>
            <w:r>
              <w:rPr>
                <w:rFonts w:ascii="Times New Roman" w:hAnsi="Times New Roman" w:cs="Times New Roman"/>
                <w:sz w:val="20"/>
              </w:rPr>
              <w:t>выдвигать кандидатов в органы управления и вносить предложения для включения в повестку дня Общего собрания не была сопряжена с неоправданными сложностями.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 Уставом Общества установлен срок внесения акционерами предложений для включения в повестку дня го</w:t>
            </w:r>
            <w:r>
              <w:rPr>
                <w:rFonts w:ascii="Times New Roman" w:hAnsi="Times New Roman" w:cs="Times New Roman"/>
                <w:sz w:val="20"/>
              </w:rPr>
              <w:t>дового Общего собрания, составляющий не менее 60 дней после окончания соответствующего календарного года.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3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 w:val="restart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В отчетном периоде Общество не отказывало в принятии предложений в повестку дня или кандидатов в органы Общества по </w:t>
            </w:r>
            <w:r>
              <w:rPr>
                <w:rFonts w:ascii="Times New Roman" w:hAnsi="Times New Roman" w:cs="Times New Roman"/>
                <w:sz w:val="20"/>
              </w:rPr>
              <w:t>причине опечаток и иных несущественных недостатков в предложении акционера.</w:t>
            </w: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частично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1.1.5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Каждый акционер имел возможность беспрепятственно реализовать право голоса самым простым и удобным для него </w:t>
            </w:r>
            <w:r>
              <w:rPr>
                <w:rFonts w:ascii="Times New Roman" w:hAnsi="Times New Roman" w:cs="Times New Roman"/>
                <w:sz w:val="20"/>
              </w:rPr>
              <w:t>способом.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 Уставом Общества предусмотрена возможность заполнения электронной формы бюллетеня на сайте в сети Интернет, адрес которого указан в сообщении о проведении общего собрания акционеров.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1.1.6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Установленный Обществом порядок ведения Общего собрания обеспечивает равную возможность всем лицам, присутствующим на собрании, высказать свое мнение и задать интересующие их вопросы.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numPr>
                <w:ilvl w:val="0"/>
                <w:numId w:val="27"/>
              </w:numPr>
              <w:tabs>
                <w:tab w:val="left" w:pos="367"/>
              </w:tabs>
              <w:ind w:left="0" w:firstLine="83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При проведении в отчетном периоде </w:t>
            </w:r>
            <w:r>
              <w:rPr>
                <w:rFonts w:ascii="Times New Roman" w:hAnsi="Times New Roman" w:cs="Times New Roman"/>
                <w:sz w:val="20"/>
              </w:rPr>
              <w:t>Общих собраний акционеров в форме собрания (совместного присутствия акционеров) предусматривалось достаточное время для докладов по вопросам повестки дня и время для обсуждения этих вопросов,</w:t>
            </w:r>
            <w:r>
              <w:rPr>
                <w:rFonts w:ascii="Times New Roman" w:eastAsiaTheme="minorHAnsi" w:hAnsi="Times New Roman" w:cs="Times New Roman"/>
                <w:sz w:val="20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акционерам была предоставлена возможность высказать свое мнение </w:t>
            </w:r>
            <w:r>
              <w:rPr>
                <w:rFonts w:ascii="Times New Roman" w:hAnsi="Times New Roman" w:cs="Times New Roman"/>
                <w:sz w:val="20"/>
              </w:rPr>
              <w:t>и задать интересующие их вопросы по повестке дня.</w:t>
            </w:r>
          </w:p>
          <w:p w:rsidR="00D6448D" w:rsidRDefault="00D6448D">
            <w:pPr>
              <w:pStyle w:val="ConsPlusNormal"/>
              <w:ind w:left="720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numPr>
                <w:ilvl w:val="0"/>
                <w:numId w:val="27"/>
              </w:numPr>
              <w:tabs>
                <w:tab w:val="left" w:pos="225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Обществом были приглашены кандидаты в органы управления и контроля Общества и предприняты все необходимые меры для обеспечения их участия в Общем собрании акционеров, на котором их кандидатуры были поставл</w:t>
            </w:r>
            <w:r>
              <w:rPr>
                <w:rFonts w:ascii="Times New Roman" w:hAnsi="Times New Roman" w:cs="Times New Roman"/>
                <w:sz w:val="20"/>
              </w:rPr>
              <w:t>ены на голосование. Присутствующие на Общем собрании акционеров кандидаты в органы управления и контроля Общества были доступны для ответов на вопросы акционеров.</w:t>
            </w:r>
          </w:p>
          <w:p w:rsidR="00D6448D" w:rsidRDefault="00D6448D">
            <w:pPr>
              <w:pStyle w:val="afc"/>
              <w:rPr>
                <w:rFonts w:ascii="Times New Roman" w:hAnsi="Times New Roman"/>
                <w:sz w:val="20"/>
                <w:lang w:val="ru-RU"/>
              </w:rPr>
            </w:pPr>
          </w:p>
          <w:p w:rsidR="00D6448D" w:rsidRDefault="00231CB6">
            <w:pPr>
              <w:pStyle w:val="ConsPlusNormal"/>
              <w:numPr>
                <w:ilvl w:val="0"/>
                <w:numId w:val="27"/>
              </w:numPr>
              <w:tabs>
                <w:tab w:val="left" w:pos="224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Единоличный исполнительный орган, лицо, ответственное за ведение бухгалтерского учета, предс</w:t>
            </w:r>
            <w:r>
              <w:rPr>
                <w:rFonts w:ascii="Times New Roman" w:hAnsi="Times New Roman" w:cs="Times New Roman"/>
                <w:sz w:val="20"/>
              </w:rPr>
              <w:t>едатель или иные члены комитета Совета директоров по аудиту были доступны для ответов на вопросы акционеров на Общих собраниях акционеров, проведенных в отчетном периоде.</w:t>
            </w:r>
          </w:p>
          <w:p w:rsidR="00D6448D" w:rsidRDefault="00D6448D">
            <w:pPr>
              <w:pStyle w:val="afc"/>
              <w:rPr>
                <w:rFonts w:ascii="Times New Roman" w:hAnsi="Times New Roman"/>
                <w:sz w:val="20"/>
                <w:lang w:val="ru-RU"/>
              </w:rPr>
            </w:pPr>
          </w:p>
          <w:p w:rsidR="00D6448D" w:rsidRDefault="00231CB6">
            <w:pPr>
              <w:pStyle w:val="ConsPlusNormal"/>
              <w:numPr>
                <w:ilvl w:val="0"/>
                <w:numId w:val="27"/>
              </w:numPr>
              <w:tabs>
                <w:tab w:val="left" w:pos="224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 отчетном периоде Общество использовало телекоммуникационные средства для обеспечен</w:t>
            </w:r>
            <w:r>
              <w:rPr>
                <w:rFonts w:ascii="Times New Roman" w:hAnsi="Times New Roman" w:cs="Times New Roman"/>
                <w:sz w:val="20"/>
              </w:rPr>
              <w:t>ия дистанционного доступа акционеров для участия в Общих собраниях либо Советом директоров было принято обоснованное решение об отсутствии необходимости (возможности) использования таких средств в отчетном периоде.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widowControl w:val="0"/>
              <w:tabs>
                <w:tab w:val="left" w:pos="1134"/>
              </w:tabs>
              <w:ind w:right="220"/>
              <w:jc w:val="both"/>
              <w:rPr>
                <w:rFonts w:ascii="Times New Roman" w:hAnsi="Times New Roman"/>
                <w:sz w:val="20"/>
                <w:lang w:val="ru-RU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не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30"/>
        </w:trPr>
        <w:tc>
          <w:tcPr>
            <w:tcW w:w="783" w:type="dxa"/>
            <w:vMerge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vMerge w:val="restart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11"/>
        </w:trPr>
        <w:tc>
          <w:tcPr>
            <w:tcW w:w="783" w:type="dxa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9" w:type="dxa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1.2</w:t>
            </w:r>
          </w:p>
        </w:tc>
        <w:tc>
          <w:tcPr>
            <w:tcW w:w="2069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Акционерам предоставлена равная и справедливая возможность участвовать в прибыли Общества посредством получения дивидендов.</w:t>
            </w: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1.2.1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Общество разработало и внедрило прозрачный и понятный </w:t>
            </w:r>
            <w:r>
              <w:rPr>
                <w:rFonts w:ascii="Times New Roman" w:hAnsi="Times New Roman" w:cs="Times New Roman"/>
                <w:sz w:val="20"/>
              </w:rPr>
              <w:t>механизм определения размера дивидендов и их выплаты.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numPr>
                <w:ilvl w:val="0"/>
                <w:numId w:val="14"/>
              </w:numPr>
              <w:tabs>
                <w:tab w:val="left" w:pos="225"/>
              </w:tabs>
              <w:ind w:left="13" w:firstLine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Положение о дивидендной политике Общества утверждено Советом директоров Общества и опубликовано на сайте Общества в сети Интернет.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blPrEx>
          <w:tblBorders>
            <w:insideH w:val="none" w:sz="0" w:space="0" w:color="auto"/>
          </w:tblBorders>
        </w:tblPrEx>
        <w:trPr>
          <w:trHeight w:val="23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 w:val="restart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Если дивидендная политика Общества использует показатели отчетности Общества для определения размера дивидендов, то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соответствующие положения дивидендной политики учитывают консолидированные показатели финансовой отчетности.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 Обоснование предлагаемог</w:t>
            </w:r>
            <w:r>
              <w:rPr>
                <w:rFonts w:ascii="Times New Roman" w:hAnsi="Times New Roman" w:cs="Times New Roman"/>
                <w:sz w:val="20"/>
              </w:rPr>
              <w:t>о распределения чистой прибыли, в том числе на выплату дивидендов и собственные нужды Общества, и оценка его соответствия принятой в обществе дивидендной политике, с пояснениями и экономическим обоснованием потребности в направлении определенной чистой при</w:t>
            </w:r>
            <w:r>
              <w:rPr>
                <w:rFonts w:ascii="Times New Roman" w:hAnsi="Times New Roman" w:cs="Times New Roman"/>
                <w:sz w:val="20"/>
              </w:rPr>
              <w:t>были на собственные нужды включены в состав материалов к общему собранию акционеров, в повестку дня которого включен вопрос о распределении прибыли (в том числе о выплате (объявлении) дивидендов.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315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1.2.2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Общество не принимает решение о выплате дивидендов, если такое решение, формально не нарушая ограничений, установленных законодательством, является экономически необоснованным и может привести к формированию ложных представлений о деятельности </w:t>
            </w:r>
            <w:r>
              <w:rPr>
                <w:rFonts w:ascii="Times New Roman" w:hAnsi="Times New Roman" w:cs="Times New Roman"/>
                <w:sz w:val="20"/>
              </w:rPr>
              <w:t>Общества.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 В Положении о дивидендной политике Общества помимо ограничений, установленных законодательством, определены финансовые/экономические обстоятельства, при которых Обществу не следует принимать решение о выплате дивидендов.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1.2.3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Общество не допускает ухудшения дивидендных прав существующих акционеров.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 В отчетном периоде Общество не предпринимало действий, ведущих к ухудшению дивидендных прав существующих</w:t>
            </w:r>
            <w:r>
              <w:rPr>
                <w:rFonts w:ascii="Times New Roman" w:hAnsi="Times New Roman" w:cs="Times New Roman"/>
                <w:sz w:val="20"/>
              </w:rPr>
              <w:t xml:space="preserve"> акционеров.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3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1.2.4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Общество стремится к исключению использования акционерами иных способов получения прибыли (дохода) за счет Общества, помимо дивидендов и </w:t>
            </w:r>
            <w:r>
              <w:rPr>
                <w:rFonts w:ascii="Times New Roman" w:hAnsi="Times New Roman" w:cs="Times New Roman"/>
                <w:sz w:val="20"/>
              </w:rPr>
              <w:t>ликвидационной стоимости.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 В отчетном периоде иные способы получения лицами, контролирующими общество, прибыли (дохода) за счет Общества помимо дивидендов (например, с помощью трансфертного ценообразования, необоснованного оказания Обществу контролирующи</w:t>
            </w:r>
            <w:r>
              <w:rPr>
                <w:rFonts w:ascii="Times New Roman" w:hAnsi="Times New Roman" w:cs="Times New Roman"/>
                <w:sz w:val="20"/>
              </w:rPr>
              <w:t>м лицом услуг по завышенным ценам, путем замещающих дивиденды внутренних займов контролирующему лицу и (или) его подконтрольным лицам) не использовались.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rPr>
          <w:trHeight w:val="277"/>
        </w:trPr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1.3</w:t>
            </w:r>
          </w:p>
        </w:tc>
        <w:tc>
          <w:tcPr>
            <w:tcW w:w="2069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Система и практика корпоративного управления обеспечивают равенство условий для всех акционеров </w:t>
            </w:r>
            <w:r>
              <w:rPr>
                <w:rFonts w:ascii="Times New Roman" w:hAnsi="Times New Roman"/>
                <w:sz w:val="20"/>
              </w:rPr>
              <w:t>–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владельцев акций одной категории (типа), включая миноритарных (мелких) акционеров и иностранных акционеров, и равное отношение к ним со стороны Общества.</w:t>
            </w: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1.3</w:t>
            </w:r>
            <w:r>
              <w:rPr>
                <w:rFonts w:ascii="Times New Roman" w:hAnsi="Times New Roman" w:cs="Times New Roman"/>
                <w:sz w:val="20"/>
              </w:rPr>
              <w:t>.1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Общество создало условия для справедливого отношения к каждому акционеру со стороны органов управления и контролирующих лиц общества, в том числе условия, обеспечивающие недопустимость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злоупотреблений со стороны крупных акционеров по отношению к минорит</w:t>
            </w:r>
            <w:r>
              <w:rPr>
                <w:rFonts w:ascii="Times New Roman" w:hAnsi="Times New Roman" w:cs="Times New Roman"/>
                <w:sz w:val="20"/>
              </w:rPr>
              <w:t>арным акционерам.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lastRenderedPageBreak/>
              <w:t xml:space="preserve">1. </w:t>
            </w:r>
            <w:r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В течение отчетного периода лица, контролирующие Общество, не допускали злоупотреблений правами по отношению к акционерам Общества, конфликты между контролирующими лицами общества и </w:t>
            </w:r>
            <w:r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lastRenderedPageBreak/>
              <w:t>акционерами общества отсутствовали, а если таковые бы</w:t>
            </w:r>
            <w:r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ли, совет директоров уделил им надлежащее внимание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1.3.2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Общество не предпринимает действий, которые приводят или могут привести к искусственному перераспределению </w:t>
            </w:r>
            <w:r>
              <w:rPr>
                <w:rFonts w:ascii="Times New Roman" w:hAnsi="Times New Roman" w:cs="Times New Roman"/>
                <w:sz w:val="20"/>
              </w:rPr>
              <w:t>корпоративного контроля.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 Квазиказначейские акции отсутствуют или не участвовали в голосовании в течение отчетного периода.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Квазиказначейские акции отсутствуют</w:t>
            </w: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rPr>
          <w:gridAfter w:val="7"/>
          <w:wAfter w:w="20696" w:type="dxa"/>
        </w:trPr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1.4</w:t>
            </w: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1.4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Акционерам обеспечены надежные и эффективные способы учета прав на акции, а также возможность свободного и необременительного отчуждения принадлежащих им акций.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1. </w:t>
            </w:r>
            <w:r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Используемые регистратором Общества технологии и условия оказываемых услуг соответствую</w:t>
            </w:r>
            <w:r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т потребностям общества и его акционеров, обеспечивают учет прав на акции и реализацию прав акционеров наиболее эффективным образом.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2069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Совет директоров осуществляет </w:t>
            </w:r>
            <w:r>
              <w:rPr>
                <w:rFonts w:ascii="Times New Roman" w:hAnsi="Times New Roman" w:cs="Times New Roman"/>
                <w:b/>
                <w:sz w:val="20"/>
              </w:rPr>
              <w:t>стратегическое управление Обществом, определяет основные принципы и подходы к организации в Обществе системы управления рисками и внутреннего контроля, контролирует деятельность исполнительных органов Общества, а также реализует иные ключевые функции.</w:t>
            </w:r>
          </w:p>
        </w:tc>
      </w:tr>
      <w:tr w:rsidR="00D6448D" w:rsidRPr="00231CB6">
        <w:trPr>
          <w:trHeight w:val="89"/>
        </w:trPr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2.1</w:t>
            </w:r>
            <w:r>
              <w:rPr>
                <w:rFonts w:ascii="Times New Roman" w:hAnsi="Times New Roman" w:cs="Times New Roman"/>
                <w:sz w:val="20"/>
              </w:rPr>
              <w:t>.1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Совет директоров отвечает за принятие решений, связанных с назначением и освобождением от занимаемых должностей исполнительных органов, в том числе в связи с ненадлежащим исполнением ими своих обязанностей. Совет директоров также осуществляет контроль з</w:t>
            </w:r>
            <w:r>
              <w:rPr>
                <w:rFonts w:ascii="Times New Roman" w:hAnsi="Times New Roman" w:cs="Times New Roman"/>
                <w:sz w:val="20"/>
              </w:rPr>
              <w:t>а тем, чтобы исполнительные органы Общества действовали в соответствии с утвержденными стратегией развития и основными направлениями деятельности Общества.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numPr>
                <w:ilvl w:val="0"/>
                <w:numId w:val="15"/>
              </w:numPr>
              <w:tabs>
                <w:tab w:val="left" w:pos="219"/>
              </w:tabs>
              <w:ind w:left="0" w:firstLine="13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Совет директоров имеет закрепленные в уставе полномочия по назначению, освобождению от занимаемой до</w:t>
            </w:r>
            <w:r>
              <w:rPr>
                <w:rFonts w:ascii="Times New Roman" w:hAnsi="Times New Roman" w:cs="Times New Roman"/>
                <w:sz w:val="20"/>
              </w:rPr>
              <w:t>лжности и определению условий договоров в отношении членов исполнительных органов.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numPr>
                <w:ilvl w:val="0"/>
                <w:numId w:val="15"/>
              </w:numPr>
              <w:tabs>
                <w:tab w:val="left" w:pos="219"/>
              </w:tabs>
              <w:ind w:left="0" w:firstLine="13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 отчетном периоде комитет по номинациям (назначениям, кадрам) рассмотрел вопрос о соответствии профессиональной квалификации, навыков и опыта членов исполнительных органов</w:t>
            </w:r>
            <w:r>
              <w:rPr>
                <w:rFonts w:ascii="Times New Roman" w:hAnsi="Times New Roman" w:cs="Times New Roman"/>
                <w:sz w:val="20"/>
              </w:rPr>
              <w:t xml:space="preserve"> текущим и ожидаемым потребностям Общества, продиктованным утвержденной стратегией Общества.</w:t>
            </w:r>
          </w:p>
          <w:p w:rsidR="00D6448D" w:rsidRDefault="00D6448D">
            <w:pPr>
              <w:pStyle w:val="afc"/>
              <w:rPr>
                <w:rFonts w:ascii="Times New Roman" w:hAnsi="Times New Roman"/>
                <w:sz w:val="20"/>
                <w:lang w:val="ru-RU"/>
              </w:rPr>
            </w:pP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3. В отчетном периоде Советом директоров рассмотрен отчет (отчеты) единоличного исполнительного органа и членов коллегиального исполнительного органа (при </w:t>
            </w:r>
            <w:r>
              <w:rPr>
                <w:rFonts w:ascii="Times New Roman" w:hAnsi="Times New Roman" w:cs="Times New Roman"/>
                <w:sz w:val="20"/>
              </w:rPr>
              <w:t>наличии) о выполнении стратегии Общества.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Критерий 3 частично соблюдается.</w:t>
            </w:r>
          </w:p>
          <w:p w:rsidR="00D6448D" w:rsidRDefault="00231CB6">
            <w:pPr>
              <w:contextualSpacing/>
              <w:jc w:val="both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 xml:space="preserve">В отчетном периоде Советом директоров Общества не рассматривался отчет единоличного исполнительного органа и коллегиального исполнительного органа о выполнении стратегии Общества. </w:t>
            </w:r>
          </w:p>
          <w:p w:rsidR="00D6448D" w:rsidRDefault="00231CB6">
            <w:pPr>
              <w:contextualSpacing/>
              <w:jc w:val="both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>В своей деятельности Общество руководствуется Стратегией развития Публичного акционерного общества «Федеральная сетевая компания – Россети» и его дочерних и зависимых обществ на период до 2030 года (далее – Стратегия развития), утвержденной Советом директ</w:t>
            </w:r>
            <w:r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>оров ПАО «Россети».</w:t>
            </w:r>
          </w:p>
          <w:p w:rsidR="00D6448D" w:rsidRDefault="00231CB6">
            <w:pPr>
              <w:contextualSpacing/>
              <w:jc w:val="both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>Документом стратегического планирования Общества является План реализации мероприятий, направленных на исполнение Стратегии развития (далее – План реализации Стратегии развития), утвержденный решением Совета директоров Общества от 28.11</w:t>
            </w:r>
            <w:r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>.2025 (протокол от 01.12.2025 № 11).</w:t>
            </w:r>
          </w:p>
          <w:p w:rsidR="00D6448D" w:rsidRDefault="00231CB6">
            <w:pPr>
              <w:contextualSpacing/>
              <w:jc w:val="both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 xml:space="preserve">Отчетный период явился первым годом выполнения Плана реализации Стратегии развития, отчет по которому за 2025 год будет рассматриваться органами управления Общества в 2026 году. </w:t>
            </w:r>
          </w:p>
          <w:p w:rsidR="00D6448D" w:rsidRDefault="00231CB6">
            <w:pPr>
              <w:contextualSpacing/>
              <w:jc w:val="both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>При этом Советом директоров Общества в о</w:t>
            </w:r>
            <w:r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 xml:space="preserve">тчетном периоде рассматривалась отчетная информация по ключевым стратегическим вопросам и программным документам: бизнес-план, инвестиционная программа, программа цифровой трансформации, программа инновационного развития, ключевые показатели эффективности </w:t>
            </w:r>
            <w:r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>и др.</w:t>
            </w:r>
          </w:p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trike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trike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142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2.1.2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Совет директоров устанавливает основные ориентиры деятельности Общества на долгосрочную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перспективу, оценивает и утверждает ключевые показатели </w:t>
            </w:r>
            <w:r>
              <w:rPr>
                <w:rFonts w:ascii="Times New Roman" w:hAnsi="Times New Roman" w:cs="Times New Roman"/>
                <w:sz w:val="20"/>
              </w:rPr>
              <w:t>деятельности и основные бизнес-цели Общества, оценивает и одобряет стратегию и бизнес-планы по основным видам деятельности Общества.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1. В течение отчетного периода на Советом директоров были рассмотрены вопросы, связанные с ходом исполнения и актуализации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стратегии, утверждением финансово-хозяйственного плана (бюджета) Общества, а также рассмотрением критериев и показателей (в том числе промежуточных) реализации стратегии и бизнес-планов Общества.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1. Частично соблюдается.</w:t>
            </w:r>
          </w:p>
          <w:p w:rsidR="00D6448D" w:rsidRDefault="00231CB6">
            <w:pPr>
              <w:contextualSpacing/>
              <w:jc w:val="both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 xml:space="preserve">В отчетном периоде Советом директоров Общества рассматривались вопросы, связанные с утверждением бюджета и бизнес-плана Общества, а также Плана </w:t>
            </w:r>
            <w:r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lastRenderedPageBreak/>
              <w:t>реализации мероприятий, направленных на исполнение Стратегии развития Публичного акционерного общества «Федераль</w:t>
            </w:r>
            <w:r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>ная сетевая компания – Россети» и его дочерних и зависимых обществ на период до 2030 года (далее – План реализации Стратегии развития).</w:t>
            </w:r>
          </w:p>
          <w:p w:rsidR="00D6448D" w:rsidRDefault="00231CB6">
            <w:pPr>
              <w:contextualSpacing/>
              <w:jc w:val="both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>При этом вопрос, связанный с ходом исполнения стратегии в отчетном периоде не рассматривался, так как отчетный период яв</w:t>
            </w:r>
            <w:r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 xml:space="preserve">ился первым годом выполнения Плана реализации Стратегии развития, отчет по которому за 2025 год будет рассматриваться органами управления Общества в 2026 году. 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2.1.3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Совет директоров определяет принципы и подходы к организации системы управления рисками и внутреннего контроля в Обществе.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numPr>
                <w:ilvl w:val="0"/>
                <w:numId w:val="28"/>
              </w:numPr>
              <w:tabs>
                <w:tab w:val="left" w:pos="225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Принципы и подходы к организации системы управления рисками и внутреннего контроля в обществе определены советом директоров и з</w:t>
            </w:r>
            <w:r>
              <w:rPr>
                <w:rFonts w:ascii="Times New Roman" w:hAnsi="Times New Roman"/>
                <w:sz w:val="20"/>
              </w:rPr>
              <w:t>акреплены во внутренних документах общества, определяющих политику в области управления рисками и внутреннего контроля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  <w:p w:rsidR="00D6448D" w:rsidRDefault="00D6448D">
            <w:pPr>
              <w:pStyle w:val="ConsPlusNormal"/>
              <w:tabs>
                <w:tab w:val="left" w:pos="225"/>
              </w:tabs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</w:t>
            </w:r>
            <w:r>
              <w:rPr>
                <w:rFonts w:ascii="Times New Roman" w:hAnsi="Times New Roman"/>
                <w:sz w:val="20"/>
              </w:rPr>
              <w:t>В отчетном периоде совет директоров утвердил (пересмотрел) приемлемую величину рисков (риск-аппетит) Общества либо комитет по аудиту</w:t>
            </w:r>
            <w:r>
              <w:rPr>
                <w:rFonts w:ascii="Times New Roman" w:hAnsi="Times New Roman"/>
                <w:sz w:val="20"/>
              </w:rPr>
              <w:t xml:space="preserve"> рассмотрел целесообразность вынесения на рассмотрение совета директоров вопроса о пересмотре риск-аппетита Общества.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ind w:left="73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67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29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2.1.4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Совет директоров определяет политику </w:t>
            </w:r>
            <w:r>
              <w:rPr>
                <w:rFonts w:ascii="Times New Roman" w:hAnsi="Times New Roman" w:cs="Times New Roman"/>
                <w:sz w:val="20"/>
              </w:rPr>
              <w:t>Общества по вознаграждению и (или) возмещению расходов (компенсаций) членам совета директоров, исполнительным органам Общества и иным ключевым руководящим работникам Общества.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numPr>
                <w:ilvl w:val="0"/>
                <w:numId w:val="29"/>
              </w:numPr>
              <w:tabs>
                <w:tab w:val="left" w:pos="225"/>
              </w:tabs>
              <w:ind w:left="0" w:firstLine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 Обществе разработана, утверждена Советом директоров и внедрена политика </w:t>
            </w:r>
            <w:r>
              <w:rPr>
                <w:rFonts w:ascii="Times New Roman" w:hAnsi="Times New Roman"/>
                <w:sz w:val="20"/>
              </w:rPr>
              <w:t>(политики) по вознаграждению и возмещению расходов (компенсаций) членов совета директоров Общества, исполнительных органов Общества и иных ключевых руководящих работников Общества.</w:t>
            </w:r>
          </w:p>
          <w:p w:rsidR="00D6448D" w:rsidRDefault="00D6448D">
            <w:pPr>
              <w:pStyle w:val="ConsPlusNormal"/>
              <w:ind w:left="720"/>
              <w:jc w:val="both"/>
              <w:rPr>
                <w:rFonts w:ascii="Times New Roman" w:hAnsi="Times New Roman"/>
                <w:sz w:val="20"/>
              </w:rPr>
            </w:pP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</w:t>
            </w:r>
            <w:r>
              <w:rPr>
                <w:rFonts w:ascii="Times New Roman" w:hAnsi="Times New Roman"/>
                <w:sz w:val="20"/>
              </w:rPr>
              <w:t>В течение отчетного периода Советом директоров Общества были рассмотрен</w:t>
            </w:r>
            <w:r>
              <w:rPr>
                <w:rFonts w:ascii="Times New Roman" w:hAnsi="Times New Roman"/>
                <w:sz w:val="20"/>
              </w:rPr>
              <w:t>ы вопросы, связанные с указанной политикой (политиками).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2.1.5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Совет директоров играет ключевую роль в предупреждении, выявлении и урегулировании внутренних </w:t>
            </w:r>
            <w:r>
              <w:rPr>
                <w:rFonts w:ascii="Times New Roman" w:hAnsi="Times New Roman" w:cs="Times New Roman"/>
                <w:sz w:val="20"/>
              </w:rPr>
              <w:t>конфликтов между органами Общества, акционерами Общества и работниками Общества.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numPr>
                <w:ilvl w:val="0"/>
                <w:numId w:val="30"/>
              </w:numPr>
              <w:tabs>
                <w:tab w:val="left" w:pos="225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Совет директоров играет ключевую роль в предупреждении, выявлении и урегулировании внутренних конфликтов.</w:t>
            </w:r>
          </w:p>
          <w:p w:rsidR="00D6448D" w:rsidRDefault="00D6448D">
            <w:pPr>
              <w:pStyle w:val="ConsPlusNormal"/>
              <w:ind w:left="720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tabs>
                <w:tab w:val="left" w:pos="83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Общество создало систему идентификации сделок, связанных с </w:t>
            </w:r>
            <w:r>
              <w:rPr>
                <w:rFonts w:ascii="Times New Roman" w:hAnsi="Times New Roman" w:cs="Times New Roman"/>
                <w:sz w:val="20"/>
              </w:rPr>
              <w:t>конфликтом интересов, и систему мер, направленных на разрешение таких конфликтов.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2.1.6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Совет директоров играет ключевую роль в обеспечении прозрачности Общества, </w:t>
            </w:r>
            <w:r>
              <w:rPr>
                <w:rFonts w:ascii="Times New Roman" w:hAnsi="Times New Roman" w:cs="Times New Roman"/>
                <w:sz w:val="20"/>
              </w:rPr>
              <w:t>своевременности и полноты раскрытия Обществом информации, необременительного доступа акционеров к документам Общества.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 Во внутренних документах  Общества определены лица, ответственные за реализацию информационной политики.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rPr>
          <w:trHeight w:val="20"/>
        </w:trPr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2.1.7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Совет директоров осуществляет контроль за практикой корпоративного управления в Обществе и играет ключевую роль в существенных корпоративных событиях Общества.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В течение отчетного </w:t>
            </w:r>
            <w:r>
              <w:rPr>
                <w:rFonts w:ascii="Times New Roman" w:hAnsi="Times New Roman" w:cs="Times New Roman"/>
                <w:sz w:val="20"/>
              </w:rPr>
              <w:t>периода Совет директоров Общества рассмотрел результаты самооценки и (или) внешней оценки практики корпоративного управления в Обществе.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keepNext/>
              <w:keepLines/>
              <w:spacing w:before="200"/>
              <w:outlineLvl w:val="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rPr>
          <w:gridAfter w:val="7"/>
          <w:wAfter w:w="20696" w:type="dxa"/>
        </w:trPr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2.2</w:t>
            </w: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Информация о работе </w:t>
            </w:r>
            <w:r>
              <w:rPr>
                <w:rFonts w:ascii="Times New Roman" w:hAnsi="Times New Roman" w:cs="Times New Roman"/>
                <w:sz w:val="20"/>
              </w:rPr>
              <w:t>Совета директоров раскрывается и предоставляется акционерам.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numPr>
                <w:ilvl w:val="0"/>
                <w:numId w:val="31"/>
              </w:numPr>
              <w:tabs>
                <w:tab w:val="left" w:pos="224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Годовой отчет Общества за отчетный период включает в себя информацию о посещаемости заседаний Совета директоров и комитетов каждым из членов Совета директоров Общества.</w:t>
            </w:r>
          </w:p>
          <w:p w:rsidR="00D6448D" w:rsidRDefault="00D6448D">
            <w:pPr>
              <w:pStyle w:val="ConsPlusNormal"/>
              <w:ind w:left="720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 Годовой отчет содержит</w:t>
            </w:r>
            <w:r>
              <w:rPr>
                <w:rFonts w:ascii="Times New Roman" w:hAnsi="Times New Roman" w:cs="Times New Roman"/>
                <w:sz w:val="20"/>
              </w:rPr>
              <w:t xml:space="preserve"> информацию об основных результатах оценки (самооценки) качества работы Совета директоров Общества, проведенной в отчетном периоде.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2.2.2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Председатель совета </w:t>
            </w:r>
            <w:r>
              <w:rPr>
                <w:rFonts w:ascii="Times New Roman" w:hAnsi="Times New Roman" w:cs="Times New Roman"/>
                <w:sz w:val="20"/>
              </w:rPr>
              <w:t>директоров доступен для общения с акционерами Общества.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 В Обществе существует прозрачная процедура, обеспечивающая акционерам возможность направления председателю Совета директоров (и, если применимо, старшему независимому директору) обращений и получен</w:t>
            </w:r>
            <w:r>
              <w:rPr>
                <w:rFonts w:ascii="Times New Roman" w:hAnsi="Times New Roman" w:cs="Times New Roman"/>
                <w:sz w:val="20"/>
              </w:rPr>
              <w:t>ия обратной связи по ним.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rPr>
          <w:trHeight w:val="251"/>
        </w:trPr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2.3</w:t>
            </w:r>
          </w:p>
        </w:tc>
        <w:tc>
          <w:tcPr>
            <w:tcW w:w="2069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Совет директоров является эффективным и профессиональным органом управления Общества, способным выносить объективные независимые </w:t>
            </w:r>
            <w:r>
              <w:rPr>
                <w:rFonts w:ascii="Times New Roman" w:hAnsi="Times New Roman" w:cs="Times New Roman"/>
                <w:b/>
                <w:sz w:val="20"/>
              </w:rPr>
              <w:t>суждения и принимать решения, отвечающие интересам Общества и его акционеров.</w:t>
            </w: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2.3.1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Только лица, имеющие безупречную деловую и личную репутацию и обладающие знаниями, навыками и опытом, необходимыми для принятия решений, относящихся к компетенции Совета </w:t>
            </w:r>
            <w:r>
              <w:rPr>
                <w:rFonts w:ascii="Times New Roman" w:hAnsi="Times New Roman" w:cs="Times New Roman"/>
                <w:sz w:val="20"/>
              </w:rPr>
              <w:t>директоров, и требующимися для эффективного осуществления его функций, избираются членами Совета директоров.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</w:t>
            </w:r>
            <w:r>
              <w:rPr>
                <w:rFonts w:ascii="Times New Roman" w:hAnsi="Times New Roman"/>
                <w:sz w:val="20"/>
              </w:rPr>
              <w:t>В отчетном периоде Советом директоров (или его комитетом по номинациям) была проведена оценка кандидатов в Совет директоров с точки зрения налич</w:t>
            </w:r>
            <w:r>
              <w:rPr>
                <w:rFonts w:ascii="Times New Roman" w:hAnsi="Times New Roman"/>
                <w:sz w:val="20"/>
              </w:rPr>
              <w:t>ия у них необходимого опыта, знаний, деловой репутации, отсутствия конфликта интересов и т.д.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Default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96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keepNext/>
              <w:keepLines/>
              <w:spacing w:before="200"/>
              <w:outlineLvl w:val="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2.3.2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Члены Совета директоров Общества избираются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посредством </w:t>
            </w:r>
            <w:r>
              <w:rPr>
                <w:rFonts w:ascii="Times New Roman" w:hAnsi="Times New Roman" w:cs="Times New Roman"/>
                <w:sz w:val="20"/>
              </w:rPr>
              <w:t>прозрачной процедуры, позволяющей акционерам получить информацию о кандидатах, достаточную для формирования представления об их личных и профессиональных качествах.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1. </w:t>
            </w:r>
            <w:r>
              <w:rPr>
                <w:rFonts w:ascii="Times New Roman" w:hAnsi="Times New Roman"/>
                <w:sz w:val="20"/>
              </w:rPr>
              <w:t xml:space="preserve">Во всех случаях проведения общего собрания акционеров Общества в </w:t>
            </w:r>
            <w:r>
              <w:rPr>
                <w:rFonts w:ascii="Times New Roman" w:hAnsi="Times New Roman"/>
                <w:sz w:val="20"/>
              </w:rPr>
              <w:lastRenderedPageBreak/>
              <w:t>отчетном периоде, повес</w:t>
            </w:r>
            <w:r>
              <w:rPr>
                <w:rFonts w:ascii="Times New Roman" w:hAnsi="Times New Roman"/>
                <w:sz w:val="20"/>
              </w:rPr>
              <w:t>тка дня которого включала вопросы об избрании Совета директоров Общества, Общество представило акционерам биографические данные всех кандидатов в члены Совета директоров Общества, результаты оценки соответствия профессиональной квалификации, опыта и навыко</w:t>
            </w:r>
            <w:r>
              <w:rPr>
                <w:rFonts w:ascii="Times New Roman" w:hAnsi="Times New Roman"/>
                <w:sz w:val="20"/>
              </w:rPr>
              <w:t xml:space="preserve">в кандидатов текущим и ожидаемым потребностям Общества, проведенной Комитетом по кадрам и вознаграждениям Совета директоров Общества, а также информацию о соответствии кандидата критериям независимости согласно </w:t>
            </w:r>
            <w:hyperlink r:id="rId10" w:tooltip="consultantplus://offline/ref=96CCF08B33728AC2B947D8375DCC0726E1CDB9719592BF6A4C7C9D38F486CE2D38A62DD913950A6453A7124A20FAA8390E91EA3C97E1C9305BX0M" w:history="1">
              <w:r>
                <w:rPr>
                  <w:rStyle w:val="aff2"/>
                  <w:rFonts w:ascii="Times New Roman" w:hAnsi="Times New Roman"/>
                  <w:color w:val="auto"/>
                  <w:sz w:val="20"/>
                  <w:u w:val="none"/>
                </w:rPr>
                <w:t>рекомендациям 102</w:t>
              </w:r>
            </w:hyperlink>
            <w:r>
              <w:rPr>
                <w:rFonts w:ascii="Times New Roman" w:hAnsi="Times New Roman"/>
                <w:sz w:val="20"/>
              </w:rPr>
              <w:t xml:space="preserve"> - </w:t>
            </w:r>
            <w:hyperlink r:id="rId11" w:tooltip="consultantplus://offline/ref=96CCF08B33728AC2B947D8375DCC0726E1CDB9719592BF6A4C7C9D38F486CE2D38A62DD913950A6156A7124A20FAA8390E91EA3C97E1C9305BX0M" w:history="1">
              <w:r>
                <w:rPr>
                  <w:rStyle w:val="aff2"/>
                  <w:rFonts w:ascii="Times New Roman" w:hAnsi="Times New Roman"/>
                  <w:color w:val="auto"/>
                  <w:sz w:val="20"/>
                  <w:u w:val="none"/>
                </w:rPr>
                <w:t>107</w:t>
              </w:r>
            </w:hyperlink>
            <w:r>
              <w:rPr>
                <w:rFonts w:ascii="Times New Roman" w:hAnsi="Times New Roman"/>
                <w:sz w:val="20"/>
              </w:rPr>
              <w:t xml:space="preserve"> Кодекса и информацию о наличии письменного согласия кандидатов на избрание в состав Совета директоров Общества.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2.3.3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Состав Совета директоров сбалансирован, в том числе по квалификации его членов, их опыту, знаниям и деловым качествам, и пользуется доверием акционеров.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В отчетном периоде Совет директоров Общества проанализировал собственные потребности </w:t>
            </w:r>
            <w:r>
              <w:rPr>
                <w:rFonts w:ascii="Times New Roman" w:hAnsi="Times New Roman" w:cs="Times New Roman"/>
                <w:sz w:val="20"/>
              </w:rPr>
              <w:t>в области профессиональной квалификации, опыта и навыков и определил компетенции, необходимые совету директоров в краткосрочной и долгосрочной перспективе.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2.3.4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Количественный состав Совета директоров общества дает возможность организовать деятельность Совета директоров наиболее эффективным образом, включая возможность формирования комитетов Совета директоров, а также обеспечивает существенным миноритарным акционе</w:t>
            </w:r>
            <w:r>
              <w:rPr>
                <w:rFonts w:ascii="Times New Roman" w:hAnsi="Times New Roman" w:cs="Times New Roman"/>
                <w:sz w:val="20"/>
              </w:rPr>
              <w:t>рам Общества возможность избрания в состав Совета директоров кандидата, за которого они голосуют.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1. </w:t>
            </w:r>
            <w:r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В отчетном периоде Совет директоров Общества рассмотрел вопрос о соответствии количественного состава Совета директоров Общества потребностям Общества и ин</w:t>
            </w:r>
            <w:r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тересам акционеров Общества</w:t>
            </w:r>
            <w:r>
              <w:rPr>
                <w:rFonts w:ascii="Times New Roman" w:hAnsi="Times New Roman"/>
                <w:sz w:val="20"/>
                <w:lang w:val="ru-RU"/>
              </w:rPr>
              <w:t>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Оценка соответствия количественного состава Совета директоров потребностям Общества и интересам акционеров в отчетном периоде была произведена Обществом в рамках внешней (независимой) оценки качества работы Совета директоров 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ПАО «Россети Волга», Комитетов Совета директоров ПАО «Россети Волга» и членов Совета директоров ПАО «Россети Волга» за 2024-2025 корпоративный год. Отчет об итогах внешней (независимой) оценки качества работы Совета директоров 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br/>
              <w:t>ПАО «Россети Волга», Комитет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>ов Совета директоров и членов Совета директоров ПАО «Россети Волга» за 2024 – 2025 корпоративный год рассмотрен Советом директоров 09.07.2025 (протокол от 10.07.2025 № 1). Таким образом, Общество в отчетном периоде оценило оптимальность количественного сос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>тава Совета директоров Общества, в связи с чем какие-либо риски частичного несоблюдения данной рекомендации отсутствуют.</w:t>
            </w: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>Общество рассмотрит возможность установления практики вынесения на рассмотрение Совета директоров Общества вопроса о соответствии колич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>ественного состава Совета директоров Общества потребностям Общества и интересам акционеров Общества после внесения необходимых изменений в Федеральный закон «Об акционерных обществах».</w:t>
            </w: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  <w:highlight w:val="yellow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не </w:t>
            </w: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2.4</w:t>
            </w:r>
          </w:p>
        </w:tc>
        <w:tc>
          <w:tcPr>
            <w:tcW w:w="2069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В состав совета директоров входит достаточное количество независимых директоров.</w:t>
            </w:r>
          </w:p>
        </w:tc>
      </w:tr>
      <w:tr w:rsidR="00D6448D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2.4.1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Независимым директором признается лицо, которое обладает достаточными профессионализмом, опытом и самостоятельностью для формирования </w:t>
            </w:r>
            <w:r>
              <w:rPr>
                <w:rFonts w:ascii="Times New Roman" w:hAnsi="Times New Roman" w:cs="Times New Roman"/>
                <w:sz w:val="20"/>
              </w:rPr>
              <w:t>собственной позиции, способно выносить объективные и добросовестные суждения, независимые от влияния исполнительных органов Общества, отдельных групп акционеров или иных заинтересованных сторон. При этом следует учитывать, что в обычных условиях не может с</w:t>
            </w:r>
            <w:r>
              <w:rPr>
                <w:rFonts w:ascii="Times New Roman" w:hAnsi="Times New Roman" w:cs="Times New Roman"/>
                <w:sz w:val="20"/>
              </w:rPr>
              <w:t>читаться независимым кандидат (избранный член Совета директоров), который связан с Обществом, его существенным акционером, существенным контрагентом или конкурентом Общества, или связан с государством.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 В течение отчетного периода все независимые члены С</w:t>
            </w:r>
            <w:r>
              <w:rPr>
                <w:rFonts w:ascii="Times New Roman" w:hAnsi="Times New Roman" w:cs="Times New Roman"/>
                <w:sz w:val="20"/>
              </w:rPr>
              <w:t xml:space="preserve">овета директоров отвечали всем критериям независимости, указанным в рекомендациях </w:t>
            </w:r>
            <w:hyperlink r:id="rId12" w:tooltip="consultantplus://offline/ref=1BC1BBB9FFF42E04B1254D36D8880CD2A8A4B66A853B48F68AE128C2E9AA6BCF211816B8FF5BB840p5x9H" w:history="1">
              <w:r>
                <w:rPr>
                  <w:rFonts w:ascii="Times New Roman" w:hAnsi="Times New Roman" w:cs="Times New Roman"/>
                  <w:sz w:val="20"/>
                </w:rPr>
                <w:t>102</w:t>
              </w:r>
            </w:hyperlink>
            <w:r>
              <w:rPr>
                <w:rFonts w:ascii="Times New Roman" w:hAnsi="Times New Roman"/>
                <w:sz w:val="20"/>
              </w:rPr>
              <w:t>–</w:t>
            </w:r>
            <w:hyperlink r:id="rId13" w:tooltip="consultantplus://offline/ref=1BC1BBB9FFF42E04B1254D36D8880CD2A8A4B66A853B48F68AE128C2E9AA6BCF211816B8FF5BB845p5xCH" w:history="1">
              <w:r>
                <w:rPr>
                  <w:rFonts w:ascii="Times New Roman" w:hAnsi="Times New Roman" w:cs="Times New Roman"/>
                  <w:sz w:val="20"/>
                </w:rPr>
                <w:t>107</w:t>
              </w:r>
            </w:hyperlink>
            <w:r>
              <w:rPr>
                <w:rFonts w:ascii="Times New Roman" w:hAnsi="Times New Roman" w:cs="Times New Roman"/>
                <w:sz w:val="20"/>
              </w:rPr>
              <w:t xml:space="preserve"> Кодекса, или были признаны независимыми по решению Совета директоров.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2.4.2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Проводится оценка соответствия кандидатов в члены Совета директоров критериям независимости, а также осуществляется регулярный анализ соответствия независимых членов Совета директоров критериям независимости. При проведении такой оценки содержание должно п</w:t>
            </w:r>
            <w:r>
              <w:rPr>
                <w:rFonts w:ascii="Times New Roman" w:hAnsi="Times New Roman" w:cs="Times New Roman"/>
                <w:sz w:val="20"/>
              </w:rPr>
              <w:t>реобладать над формой.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numPr>
                <w:ilvl w:val="0"/>
                <w:numId w:val="26"/>
              </w:numPr>
              <w:tabs>
                <w:tab w:val="left" w:pos="225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 отчетном периоде Совет директоров (или комитет по номинациям Совета директоров) составил мнение о независимости каждого кандидата в Совет директоров и представил акционерам соответствующее заключение.</w:t>
            </w:r>
          </w:p>
          <w:p w:rsidR="00D6448D" w:rsidRDefault="00D6448D">
            <w:pPr>
              <w:pStyle w:val="ConsPlusNormal"/>
              <w:ind w:left="720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numPr>
                <w:ilvl w:val="0"/>
                <w:numId w:val="26"/>
              </w:numPr>
              <w:tabs>
                <w:tab w:val="left" w:pos="225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За отчетный период Совет </w:t>
            </w:r>
            <w:r>
              <w:rPr>
                <w:rFonts w:ascii="Times New Roman" w:hAnsi="Times New Roman" w:cs="Times New Roman"/>
                <w:sz w:val="20"/>
              </w:rPr>
              <w:t>директоров (или комитет по номинациям Совета директоров) по крайней мере один раз рассмотрел вопрос о независимости действующих членов Совета директоров (после их избрания).</w:t>
            </w:r>
          </w:p>
          <w:p w:rsidR="00D6448D" w:rsidRDefault="00D6448D">
            <w:pPr>
              <w:pStyle w:val="afc"/>
              <w:rPr>
                <w:rFonts w:ascii="Times New Roman" w:hAnsi="Times New Roman"/>
                <w:sz w:val="20"/>
                <w:lang w:val="ru-RU"/>
              </w:rPr>
            </w:pP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 В Обществе разработаны процедуры, определяющие необходимые действия члена Сове</w:t>
            </w:r>
            <w:r>
              <w:rPr>
                <w:rFonts w:ascii="Times New Roman" w:hAnsi="Times New Roman" w:cs="Times New Roman"/>
                <w:sz w:val="20"/>
              </w:rPr>
              <w:t>та директоров Общества в том случае, если он перестает быть независимым, включая обязательства по своевременному информированию об этом Совета директоров Общества.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rPr>
          <w:trHeight w:val="403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rPr>
          <w:trHeight w:val="735"/>
        </w:trPr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2.4.3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Независимые директора составляют не менее одной трети избранного состава Совета директоров.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 Независимые директора составляют не менее одной трети состава Совета директоров.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Частично не соблюдается.  </w:t>
            </w:r>
          </w:p>
          <w:p w:rsidR="00D6448D" w:rsidRDefault="00231CB6">
            <w:pPr>
              <w:pStyle w:val="Default"/>
              <w:jc w:val="both"/>
              <w:rPr>
                <w:rFonts w:ascii="Times New Roman" w:eastAsia="Times New Roman" w:hAnsi="Times New Roman" w:cs="Calibri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color w:val="auto"/>
                <w:sz w:val="20"/>
                <w:szCs w:val="20"/>
                <w:lang w:eastAsia="ru-RU"/>
              </w:rPr>
              <w:t xml:space="preserve">Количество независимых членов Совета директоров Общества в течение отчетного периода составляло менее 1/3 от состава Совета директоров Общества, численный состав которого составляет 11 членов. </w:t>
            </w: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Для соблюдения данной рекомендации Кодекса количество независи</w:t>
            </w:r>
            <w:r>
              <w:rPr>
                <w:rFonts w:ascii="Times New Roman" w:hAnsi="Times New Roman" w:cs="Times New Roman"/>
                <w:sz w:val="20"/>
              </w:rPr>
              <w:t xml:space="preserve">мых директоров в Обществе должно быть больше трех (минимум четыре). </w:t>
            </w: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 Совете директоров Общества два независимых директора, что </w:t>
            </w:r>
            <w:r>
              <w:rPr>
                <w:rFonts w:ascii="Times New Roman" w:hAnsi="Times New Roman"/>
                <w:sz w:val="20"/>
              </w:rPr>
              <w:t xml:space="preserve">соответствует Правилам листинга Московской Биржи, в соответствии с которыми не может быть менее двух независимых директоров. </w:t>
            </w: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</w:t>
            </w:r>
            <w:r>
              <w:rPr>
                <w:rFonts w:ascii="Times New Roman" w:hAnsi="Times New Roman"/>
                <w:sz w:val="20"/>
              </w:rPr>
              <w:t>есмотря на стремление Общества к соблюдению указанной рекомендации, менеджмент Общества имеет ограниченное влияние на избрание состава Совета директоров Общества, поскольку выдвижение и избрание кандидатов в Совет директоров Общества осуществляется акционе</w:t>
            </w:r>
            <w:r>
              <w:rPr>
                <w:rFonts w:ascii="Times New Roman" w:hAnsi="Times New Roman"/>
                <w:sz w:val="20"/>
              </w:rPr>
              <w:t>рами.</w:t>
            </w:r>
          </w:p>
          <w:p w:rsidR="00D6448D" w:rsidRDefault="00231CB6">
            <w:pPr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Риски, связанные с неполным исполнением рекомендаций Кодекса, нивелируются эффективной организацией деятельности независимых директоров в Обществе. </w:t>
            </w: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Информация о планируемом увеличении количества выдвигаемых независимых директоров отсутствует, следов</w:t>
            </w:r>
            <w:r>
              <w:rPr>
                <w:rFonts w:ascii="Times New Roman" w:hAnsi="Times New Roman"/>
                <w:sz w:val="20"/>
              </w:rPr>
              <w:t xml:space="preserve">ательно, увеличение их числа в настоящее время не прогнозируется. </w:t>
            </w: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keepNext/>
              <w:keepLines/>
              <w:spacing w:before="200"/>
              <w:outlineLvl w:val="3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rPr>
          <w:trHeight w:val="1936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2.4.4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Независимые директора играют ключевую роль в предотвращении внутренних конфликтов в Обществе и</w:t>
            </w:r>
            <w:r>
              <w:rPr>
                <w:rFonts w:ascii="Times New Roman" w:hAnsi="Times New Roman" w:cs="Times New Roman"/>
                <w:sz w:val="20"/>
              </w:rPr>
              <w:t xml:space="preserve"> совершении Обществом существенных корпоративных действий.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 Независимые директора (у которых отсутствует конфликт интересов) в отчетном периоде предварительно оценивали существенные корпоративные действия, связанные с возможным конфликтом интересов, а ре</w:t>
            </w:r>
            <w:r>
              <w:rPr>
                <w:rFonts w:ascii="Times New Roman" w:hAnsi="Times New Roman" w:cs="Times New Roman"/>
                <w:sz w:val="20"/>
              </w:rPr>
              <w:t>зультаты такой оценки предоставлялись Совету директоров.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Не соблюдается.  </w:t>
            </w: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Независимые директора Общества в отчетном периоде не предоставляли Совету директоров Общества оценку существенных корпоративных действий, связанных с возможным конфликтом интере</w:t>
            </w:r>
            <w:r>
              <w:rPr>
                <w:rFonts w:ascii="Times New Roman" w:hAnsi="Times New Roman" w:cs="Times New Roman"/>
                <w:sz w:val="20"/>
              </w:rPr>
              <w:t>сов.</w:t>
            </w:r>
          </w:p>
          <w:p w:rsidR="00D6448D" w:rsidRDefault="00231CB6">
            <w:pPr>
              <w:widowControl w:val="0"/>
              <w:jc w:val="both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Указанные рекомендации не соблюдаются, поскольку во внутренних документах Общества не предусмотрены данные процедуры.</w:t>
            </w: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Общество стремится к исполнению указанной рекомендации и планирует в следующих отчетных периодах при разработке проектов изменений и </w:t>
            </w:r>
            <w:r>
              <w:rPr>
                <w:rFonts w:ascii="Times New Roman" w:hAnsi="Times New Roman" w:cs="Times New Roman"/>
                <w:sz w:val="20"/>
                <w:lang w:eastAsia="en-US"/>
              </w:rPr>
              <w:t>дополнений во внутренние документы Общества учесть необходимость формализации процедуры оценки существенных корпоративных действий, связанных с возможным конфликтом интересов.</w:t>
            </w: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2.5</w:t>
            </w:r>
          </w:p>
        </w:tc>
        <w:tc>
          <w:tcPr>
            <w:tcW w:w="2069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Председатель Совета директоров способствует наиболее эффективному осуществлению функций, возложенных на Совет директоров.</w:t>
            </w:r>
          </w:p>
        </w:tc>
      </w:tr>
      <w:tr w:rsidR="00D6448D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2.5.1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Председателем Совета директоров избран независимый директор, либо из числа избранных независимых директоров </w:t>
            </w:r>
            <w:r>
              <w:rPr>
                <w:rFonts w:ascii="Times New Roman" w:hAnsi="Times New Roman" w:cs="Times New Roman"/>
                <w:sz w:val="20"/>
              </w:rPr>
              <w:t>определен старший независимый директор, координирующий работу независимых директоров и осуществляющий взаимодействие с председателем Совета директоров.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 Председатель Совета директоров является независимым директором, или же среди независимых директоров о</w:t>
            </w:r>
            <w:r>
              <w:rPr>
                <w:rFonts w:ascii="Times New Roman" w:hAnsi="Times New Roman" w:cs="Times New Roman"/>
                <w:sz w:val="20"/>
              </w:rPr>
              <w:t>пределен старший независимый директор.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Роль, права и обязанности председателя Совета директоров (и, если применимо, старшего независимого директора) должным образом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определены во внутренних документах Общества.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Не соблюдается.  </w:t>
            </w:r>
          </w:p>
          <w:p w:rsidR="00D6448D" w:rsidRDefault="00231CB6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Председатель Совета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директоров Общества не является независимым директором.</w:t>
            </w:r>
          </w:p>
          <w:p w:rsidR="00D6448D" w:rsidRDefault="00231CB6">
            <w:pPr>
              <w:pStyle w:val="Default"/>
              <w:jc w:val="both"/>
              <w:rPr>
                <w:rFonts w:ascii="Times New Roman" w:eastAsia="MS Mincho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</w:rPr>
              <w:t xml:space="preserve">В настоящее время отсутствие Старшего независимого директора не влечет за собой дополнительных рисков для Общества и его заинтересованных сторон. </w:t>
            </w:r>
          </w:p>
          <w:p w:rsidR="00D6448D" w:rsidRDefault="00231CB6">
            <w:pPr>
              <w:pStyle w:val="Default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В соответствии с пунктом 4.1. Положения о Совете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директоров ПАО «Россети Волга» из числа избранных независимых членов Совета директоров Общества в Обществе может быть избран старший независимый директор. Старший независимый директор избирается большинством голосов членов Совета директоров Общества, прини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мающих участие в заседании или заочном голосовании. Кандидатура Старшего независимого директора выдвигается независимыми директорами.</w:t>
            </w:r>
          </w:p>
          <w:p w:rsidR="00D6448D" w:rsidRDefault="00231CB6">
            <w:pPr>
              <w:pStyle w:val="Defaul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2. Соблюдается</w:t>
            </w: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2.5.2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Председатель</w:t>
            </w:r>
            <w:r>
              <w:rPr>
                <w:rFonts w:ascii="Times New Roman" w:hAnsi="Times New Roman" w:cs="Times New Roman"/>
                <w:sz w:val="20"/>
              </w:rPr>
              <w:t xml:space="preserve"> Совета директоров обеспечивает конструктивную атмосферу проведения заседаний, свободное обсуждение вопросов, включенных в повестку дня заседания, контроль за исполнением решений, принятых Советом директоров.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 Эффективность работы председателя Совета дир</w:t>
            </w:r>
            <w:r>
              <w:rPr>
                <w:rFonts w:ascii="Times New Roman" w:hAnsi="Times New Roman" w:cs="Times New Roman"/>
                <w:sz w:val="20"/>
              </w:rPr>
              <w:t>екторов Общества  оценивалась в рамках процедуры оценки (самооценки) качества работы Совета директоров в отчетном периоде.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2.5.3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Председатель Совета директоров </w:t>
            </w:r>
            <w:r>
              <w:rPr>
                <w:rFonts w:ascii="Times New Roman" w:hAnsi="Times New Roman" w:cs="Times New Roman"/>
                <w:sz w:val="20"/>
              </w:rPr>
              <w:t>принимает необходимые меры для своевременного предоставления членам Совета директоров информации, необходимой для принятия решений по вопросам повестки дня.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 Обязанность председателя Совета директоров общества принимать меры по обеспечению своевременного</w:t>
            </w:r>
            <w:r>
              <w:rPr>
                <w:rFonts w:ascii="Times New Roman" w:hAnsi="Times New Roman" w:cs="Times New Roman"/>
                <w:sz w:val="20"/>
              </w:rPr>
              <w:t xml:space="preserve"> предоставления полной и достоверной информации членам Совета директоров по вопросам повестки заседания Совета директоров закреплена во внутренних документах Общества.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2.6</w:t>
            </w:r>
          </w:p>
        </w:tc>
        <w:tc>
          <w:tcPr>
            <w:tcW w:w="2069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Члены Совета директоров действуют добросовестно и разумно в интересах Общества и его акционеров на основе достаточной информированности, с должной степенью заботливости и осмотрительности.</w:t>
            </w:r>
          </w:p>
        </w:tc>
      </w:tr>
      <w:tr w:rsidR="00D6448D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2.6.1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Члены Совета директоров принимают решения с учетом </w:t>
            </w:r>
            <w:r>
              <w:rPr>
                <w:rFonts w:ascii="Times New Roman" w:hAnsi="Times New Roman" w:cs="Times New Roman"/>
                <w:sz w:val="20"/>
              </w:rPr>
              <w:t>всей имеющейся информации, в отсутствие конфликта интересов, с учетом равного отношения к акционерам Общества, в рамках обычного предпринимательского риска.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Внутренними документами Общества установлено, что член Совета директоров обязан уведомить Совет </w:t>
            </w:r>
            <w:r>
              <w:rPr>
                <w:rFonts w:ascii="Times New Roman" w:hAnsi="Times New Roman" w:cs="Times New Roman"/>
                <w:sz w:val="20"/>
              </w:rPr>
              <w:t>директоров, если у него возникает конфликт интересов в отношении любого вопроса повестки дня заседания Совета директоров или комитета Совета директоров, до начала обсуждения соответствующего вопроса повестки.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 Внутренние документы Общества предусматрива</w:t>
            </w:r>
            <w:r>
              <w:rPr>
                <w:rFonts w:ascii="Times New Roman" w:hAnsi="Times New Roman" w:cs="Times New Roman"/>
                <w:sz w:val="20"/>
              </w:rPr>
              <w:t>ют, что член Совета директоров должен воздержаться от голосования по любому вопросу, в котором у него есть конфликт интересов.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 В Обществе установлена процедура, которая позволяет Совету директоров получать профессиональные консультации по вопросам, отн</w:t>
            </w:r>
            <w:r>
              <w:rPr>
                <w:rFonts w:ascii="Times New Roman" w:hAnsi="Times New Roman" w:cs="Times New Roman"/>
                <w:sz w:val="20"/>
              </w:rPr>
              <w:t>осящимся к его компетенции, за счет Общества.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spacing w:line="180" w:lineRule="atLeast"/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1. Соблюдается.</w:t>
            </w:r>
          </w:p>
          <w:p w:rsidR="00D6448D" w:rsidRDefault="00231CB6">
            <w:pPr>
              <w:spacing w:line="180" w:lineRule="atLeast"/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2. Соблюдается.</w:t>
            </w:r>
          </w:p>
          <w:p w:rsidR="00D6448D" w:rsidRDefault="00231CB6">
            <w:pPr>
              <w:spacing w:line="180" w:lineRule="atLeast"/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3. Не соблюдается</w:t>
            </w: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Норма, позволяющая Совету директоров Общества получать профессиональные консультации по вопросам, относящимся к его компетенции, за счет Общества, присутствует</w:t>
            </w:r>
            <w:r>
              <w:rPr>
                <w:rFonts w:ascii="Times New Roman" w:hAnsi="Times New Roman"/>
                <w:sz w:val="20"/>
              </w:rPr>
              <w:t xml:space="preserve"> в соответствующих Положениях о Комитетах Совета директоров Общества. Общество стремится к соблюдению указанной рекомендации, в связи с чем планируется в будущем данную норму внести в другие внутренние документы. Общество планирует в следующем отчетном пер</w:t>
            </w:r>
            <w:r>
              <w:rPr>
                <w:rFonts w:ascii="Times New Roman" w:hAnsi="Times New Roman"/>
                <w:sz w:val="20"/>
              </w:rPr>
              <w:t>иоде подготовить соответствующие предложения.</w:t>
            </w: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2.6.2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Права и обязанности членов Совета директоров четко сформулированы и закреплены во внутренних документах Общества.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 В Обществе принят и опубликован внутренний документ, четко определяющий права и обязанности членов Совета директоров.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2.6.3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Члены Совета директоров имеют </w:t>
            </w:r>
            <w:r>
              <w:rPr>
                <w:rFonts w:ascii="Times New Roman" w:hAnsi="Times New Roman" w:cs="Times New Roman"/>
                <w:sz w:val="20"/>
              </w:rPr>
              <w:t>достаточно времени для выполнения своих обязанностей.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 Индивидуальная посещаемость заседаний Совета директоров и Комитетов Совета директоров, а также достаточность времени для работы в Совете директоров, в том числе в его Комитетах, проанализирована в ра</w:t>
            </w:r>
            <w:r>
              <w:rPr>
                <w:rFonts w:ascii="Times New Roman" w:hAnsi="Times New Roman" w:cs="Times New Roman"/>
                <w:sz w:val="20"/>
              </w:rPr>
              <w:t>мках процедуры оценки (самооценки) качества работы Совета директоров в отчетном периоде.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 В соответствии с внутренними документами Общества члены Совета директоров обязаны уведомлять Совет директоров о своем намерении войти в состав органов управления д</w:t>
            </w:r>
            <w:r>
              <w:rPr>
                <w:rFonts w:ascii="Times New Roman" w:hAnsi="Times New Roman" w:cs="Times New Roman"/>
                <w:sz w:val="20"/>
              </w:rPr>
              <w:t>ругих организаций (помимо подконтрольных Обществу организаций), а также о факте такого назначения.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6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2.6.4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Все члены Совета директоров в равной степени имеют </w:t>
            </w:r>
            <w:r>
              <w:rPr>
                <w:rFonts w:ascii="Times New Roman" w:hAnsi="Times New Roman" w:cs="Times New Roman"/>
                <w:sz w:val="20"/>
              </w:rPr>
              <w:t>возможность доступа к документам и информации Общества. Вновь избранным членам Совета директоров в максимально возможный короткий срок предоставляется достаточная информация об Обществе и о работе Совета директоров.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 В соответствии с внутренними документ</w:t>
            </w:r>
            <w:r>
              <w:rPr>
                <w:rFonts w:ascii="Times New Roman" w:hAnsi="Times New Roman" w:cs="Times New Roman"/>
                <w:sz w:val="20"/>
              </w:rPr>
              <w:t>ами Общества члены Совета директоров имеют право получать информацию и документы, необходимые членам Совета директоров Общества для исполнения ими своих обязанностей, касающиеся Общества и подконтрольных ему организаций, а исполнительные органы Общества об</w:t>
            </w:r>
            <w:r>
              <w:rPr>
                <w:rFonts w:ascii="Times New Roman" w:hAnsi="Times New Roman" w:cs="Times New Roman"/>
                <w:sz w:val="20"/>
              </w:rPr>
              <w:t>язаны обеспечить предоставление соответствующей информации и документов.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 В Обществе реализуется формализованная программа ознакомительных мероприятий для вновь избранных членов Совета директоров.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2.7</w:t>
            </w:r>
          </w:p>
        </w:tc>
        <w:tc>
          <w:tcPr>
            <w:tcW w:w="2069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Заседания Совета директоров, подготовка к ним и участие в них членов Совета директоров обеспечивают эффективную деятельность Совета директоров.</w:t>
            </w: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2.7.1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Заседания Совета директоров проводятся по мере необходимости, с </w:t>
            </w:r>
            <w:r>
              <w:rPr>
                <w:rFonts w:ascii="Times New Roman" w:hAnsi="Times New Roman" w:cs="Times New Roman"/>
                <w:sz w:val="20"/>
              </w:rPr>
              <w:t>учетом масштабов деятельности и стоящих перед Обществом в определенный период времени задач.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 Совет директоров провел не менее шести заседаний за отчетный год.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2.7.2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 внутренних документах Общества закреплен порядок подготовки и проведения заседаний Совета директоров, обеспечивающий членам Совета директоров возможность надлежащим образом подготовиться к его проведению.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numPr>
                <w:ilvl w:val="0"/>
                <w:numId w:val="16"/>
              </w:numPr>
              <w:tabs>
                <w:tab w:val="left" w:pos="296"/>
              </w:tabs>
              <w:ind w:left="0" w:firstLine="12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 Обществе утвержден внутренний документ, </w:t>
            </w:r>
            <w:r>
              <w:rPr>
                <w:rFonts w:ascii="Times New Roman" w:hAnsi="Times New Roman" w:cs="Times New Roman"/>
                <w:sz w:val="20"/>
              </w:rPr>
              <w:t>определяющий процедуру подготовки и проведения заседаний Совета директоров, в котором в том числе установлено, что уведомление о проведении заседания должно быть сделано, как правило, не менее чем за пять дней до даты его проведения.</w:t>
            </w:r>
          </w:p>
          <w:p w:rsidR="00D6448D" w:rsidRDefault="00D6448D">
            <w:pPr>
              <w:pStyle w:val="ConsPlusNormal"/>
              <w:tabs>
                <w:tab w:val="left" w:pos="296"/>
              </w:tabs>
              <w:ind w:left="12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numPr>
                <w:ilvl w:val="0"/>
                <w:numId w:val="16"/>
              </w:numPr>
              <w:tabs>
                <w:tab w:val="left" w:pos="296"/>
              </w:tabs>
              <w:ind w:left="0" w:firstLine="12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 отчетном периоде от</w:t>
            </w:r>
            <w:r>
              <w:rPr>
                <w:rFonts w:ascii="Times New Roman" w:hAnsi="Times New Roman" w:cs="Times New Roman"/>
                <w:sz w:val="20"/>
              </w:rPr>
              <w:t>сутствующим в месте проведения заседания Совета директоров членам Совета директоров предоставлялась возможность участия в обсуждении вопросов повестки дня и голосования дистанционно – посредством конференц- и видео-конференц-связи.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rPr>
          <w:trHeight w:val="477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2.7.3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Форма проведения заседания Совета директоров определяется с учетом важности вопросов повестки дня. Наиболее важные вопросы решаются на заседаниях, проводимых в очной форме.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tabs>
                <w:tab w:val="left" w:pos="296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Уставом или внутренним документом общества предусмотрено, что наиболее важные вопросы (в том числе перечисленные в рекомендации </w:t>
            </w:r>
            <w:hyperlink r:id="rId14" w:tooltip="consultantplus://offline/ref=1BC1BBB9FFF42E04B1254D36D8880CD2A8A4B66A853B48F68AE128C2E9AA6BCF211816B8FF5BBF46p5xFH" w:history="1">
              <w:r>
                <w:rPr>
                  <w:rFonts w:ascii="Times New Roman" w:hAnsi="Times New Roman" w:cs="Times New Roman"/>
                  <w:sz w:val="20"/>
                </w:rPr>
                <w:t>168</w:t>
              </w:r>
            </w:hyperlink>
            <w:r>
              <w:rPr>
                <w:rFonts w:ascii="Times New Roman" w:hAnsi="Times New Roman" w:cs="Times New Roman"/>
                <w:sz w:val="20"/>
              </w:rPr>
              <w:t xml:space="preserve"> Кодекса) должны рассматриваться на очных заседаниях Совета директоров.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af6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Wingdings" w:eastAsia="Wingdings" w:hAnsi="Wingdings" w:cs="Wingdings"/>
                <w:sz w:val="20"/>
                <w:lang w:eastAsia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2.7.4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Решения по наиболее важным вопросам деятельности Общества принимаются на заседании Совета директоров квалифицированным большинством или большинством голосов всех избранных членов Совета директоров.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Уставом Общества предусмотрено, что решения по наиболее важным вопросам, в том числе изложенным в рекомендации </w:t>
            </w:r>
            <w:hyperlink r:id="rId15" w:tooltip="consultantplus://offline/ref=1BC1BBB9FFF42E04B1254D36D8880CD2A8A4B66A853B48F68AE128C2E9AA6BCF211816B8FF5BBF44p5x5H" w:history="1">
              <w:r>
                <w:rPr>
                  <w:rStyle w:val="aff2"/>
                  <w:rFonts w:ascii="Times New Roman" w:hAnsi="Times New Roman" w:cs="Times New Roman"/>
                  <w:color w:val="auto"/>
                  <w:sz w:val="20"/>
                  <w:u w:val="none"/>
                </w:rPr>
                <w:t>170</w:t>
              </w:r>
            </w:hyperlink>
            <w:r>
              <w:rPr>
                <w:rFonts w:ascii="Times New Roman" w:hAnsi="Times New Roman" w:cs="Times New Roman"/>
                <w:sz w:val="20"/>
              </w:rPr>
              <w:t xml:space="preserve"> Кодекса, должны приниматься на заседании Совета директоров квалифицированным большинством, не менее чем в 3/4 голосов, или же большинством голо</w:t>
            </w:r>
            <w:r>
              <w:rPr>
                <w:rFonts w:ascii="Times New Roman" w:hAnsi="Times New Roman" w:cs="Times New Roman"/>
                <w:sz w:val="20"/>
              </w:rPr>
              <w:t>сов всех избранных членов Совета директоров.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 Частично соблюдается.</w:t>
            </w: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Перечень вопросов, решение по которым принимается квалифицированным большинством всех избранных членов Совета директоров Общества, закреплен в Уставе Общества в соответствии с требовани</w:t>
            </w:r>
            <w:r>
              <w:rPr>
                <w:rFonts w:ascii="Times New Roman" w:hAnsi="Times New Roman"/>
                <w:sz w:val="20"/>
              </w:rPr>
              <w:t>ями Федерального закона «Об акционерных обществах» Данный перечень включает не все вопросы, перечисленные в рекомендации 170 Кодекса.</w:t>
            </w: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Для внедрения данных рекомендаций Общество планирует изучить практику их применения и в будущем отчетном периоде принять </w:t>
            </w:r>
            <w:r>
              <w:rPr>
                <w:rFonts w:ascii="Times New Roman" w:hAnsi="Times New Roman"/>
                <w:sz w:val="20"/>
              </w:rPr>
              <w:t>решение о внедрении.</w:t>
            </w: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674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2.8</w:t>
            </w:r>
          </w:p>
        </w:tc>
        <w:tc>
          <w:tcPr>
            <w:tcW w:w="2069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Совет директоров создает комитеты для предварительного рассмотрения наиболее важных вопросов деятельности Общества.</w:t>
            </w: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2.8.1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Для </w:t>
            </w:r>
            <w:r>
              <w:rPr>
                <w:rFonts w:ascii="Times New Roman" w:hAnsi="Times New Roman" w:cs="Times New Roman"/>
                <w:sz w:val="20"/>
              </w:rPr>
              <w:t>предварительного рассмотрения вопросов, связанных с контролем за финансово-хозяйственной деятельностью Общества, создан Комитет по аудиту, состоящий из независимых директоров.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 Совет директоров сформировал Комитет по аудиту, состоящий исключительно из не</w:t>
            </w:r>
            <w:r>
              <w:rPr>
                <w:rFonts w:ascii="Times New Roman" w:hAnsi="Times New Roman" w:cs="Times New Roman"/>
                <w:sz w:val="20"/>
              </w:rPr>
              <w:t>зависимых директоров.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Во внутренних документах Общества определены задачи Комитета по аудиту, в том числе задачи, содержащиеся в рекомендации </w:t>
            </w:r>
            <w:hyperlink r:id="rId16" w:tooltip="consultantplus://offline/ref=1BC1BBB9FFF42E04B1254D36D8880CD2A8A4B66A853B48F68AE128C2E9AA6BCF211816B8FF5BBF4Ap5xFH" w:history="1">
              <w:r>
                <w:rPr>
                  <w:rFonts w:ascii="Times New Roman" w:hAnsi="Times New Roman" w:cs="Times New Roman"/>
                  <w:sz w:val="20"/>
                </w:rPr>
                <w:t>172</w:t>
              </w:r>
            </w:hyperlink>
            <w:r>
              <w:rPr>
                <w:rFonts w:ascii="Times New Roman" w:hAnsi="Times New Roman" w:cs="Times New Roman"/>
                <w:sz w:val="20"/>
              </w:rPr>
              <w:t xml:space="preserve"> Кодекса.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 По крайней мере один член Комитета по аудиту, являющийся независимым директором, обладает опытом и</w:t>
            </w:r>
            <w:r>
              <w:rPr>
                <w:rFonts w:ascii="Times New Roman" w:hAnsi="Times New Roman" w:cs="Times New Roman"/>
                <w:sz w:val="20"/>
              </w:rPr>
              <w:t xml:space="preserve"> знаниями в области подготовки, анализа, оценки и аудита бухгалтерской (финансовой) отчетности.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 Заседания Комитета по аудиту проводились не реже одного раза в квартал в течение отчетного периода.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724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2.8.2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Для предварительного рассмотрения вопросов, связанных с формированием эффективной и прозрачной практики вознаграждения, создан Комитет по вознаграждениям, состоящий из независимых директоров и возглавляемый </w:t>
            </w:r>
            <w:r>
              <w:rPr>
                <w:rFonts w:ascii="Times New Roman" w:hAnsi="Times New Roman" w:cs="Times New Roman"/>
                <w:sz w:val="20"/>
              </w:rPr>
              <w:t>независимым директором, не являющимся председателем Совета директоров.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 Советом директоров создан Комитет по вознаграждениям, который состоит только из независимых директоров.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Председателем Комитета по кадрам и вознаграждениям является независимый </w:t>
            </w:r>
            <w:r>
              <w:rPr>
                <w:rFonts w:ascii="Times New Roman" w:hAnsi="Times New Roman" w:cs="Times New Roman"/>
                <w:sz w:val="20"/>
              </w:rPr>
              <w:t>директор, который не является председателем Совета директоров.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3. Во внутренних документах Общества определены задачи Комитета по вознаграждениям, включая в том числе задачи, содержащиеся в рекомендации </w:t>
            </w:r>
            <w:hyperlink r:id="rId17" w:tooltip="consultantplus://offline/ref=1BC1BBB9FFF42E04B1254D36D8880CD2A8A4B66A853B48F68AE128C2E9AA6BCF211816B8FF5BBE41p5x5H" w:history="1">
              <w:r>
                <w:rPr>
                  <w:rFonts w:ascii="Times New Roman" w:hAnsi="Times New Roman" w:cs="Times New Roman"/>
                  <w:sz w:val="20"/>
                </w:rPr>
                <w:t>180</w:t>
              </w:r>
            </w:hyperlink>
            <w:r>
              <w:rPr>
                <w:rFonts w:ascii="Times New Roman" w:hAnsi="Times New Roman" w:cs="Times New Roman"/>
                <w:sz w:val="20"/>
              </w:rPr>
              <w:t xml:space="preserve"> Кодекса, а также условия (события), при наступлении к</w:t>
            </w:r>
            <w:r>
              <w:rPr>
                <w:rFonts w:ascii="Times New Roman" w:hAnsi="Times New Roman" w:cs="Times New Roman"/>
                <w:sz w:val="20"/>
              </w:rPr>
              <w:t>оторых Комитет по вознаграждениям рассматривает вопрос о пересмотре политики Общества по вознаграждению членов Совета директоров, исполнительных органов и иных ключевых руководящих работников.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</w:tcPr>
          <w:p w:rsidR="00D6448D" w:rsidRDefault="00231CB6">
            <w:pPr>
              <w:pStyle w:val="ConsPlusNormal"/>
              <w:numPr>
                <w:ilvl w:val="3"/>
                <w:numId w:val="16"/>
              </w:numPr>
              <w:ind w:left="217" w:firstLine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соблюдается.</w:t>
            </w: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Комитет по кадрам и вознаграждениям Совета дир</w:t>
            </w:r>
            <w:r>
              <w:rPr>
                <w:rFonts w:ascii="Times New Roman" w:hAnsi="Times New Roman" w:cs="Times New Roman"/>
                <w:sz w:val="20"/>
              </w:rPr>
              <w:t>екторов Общества, действовавший в течение 2025 года, не состоял только из независимых директоров.</w:t>
            </w: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 состав Комитета входили два независимых директора: (Шевчук А.В., Казаков А.И.) и один неисполнительный директор (Гончаров Ю.В.). </w:t>
            </w:r>
          </w:p>
          <w:p w:rsidR="00D6448D" w:rsidRDefault="00231CB6">
            <w:pPr>
              <w:pStyle w:val="ConsPlusNormal"/>
              <w:numPr>
                <w:ilvl w:val="3"/>
                <w:numId w:val="16"/>
              </w:numPr>
              <w:ind w:left="642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Соблюдается.</w:t>
            </w: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Председателем</w:t>
            </w:r>
            <w:r>
              <w:rPr>
                <w:rFonts w:ascii="Times New Roman" w:hAnsi="Times New Roman" w:cs="Times New Roman"/>
                <w:sz w:val="20"/>
              </w:rPr>
              <w:t xml:space="preserve"> Комитета являлся Казаков А.И. – независимый директор.</w:t>
            </w:r>
          </w:p>
          <w:p w:rsidR="00D6448D" w:rsidRDefault="00231CB6">
            <w:pPr>
              <w:pStyle w:val="ConsPlusNormal"/>
              <w:numPr>
                <w:ilvl w:val="3"/>
                <w:numId w:val="16"/>
              </w:numPr>
              <w:ind w:left="217" w:firstLine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  <w:p w:rsidR="00D6448D" w:rsidRDefault="00231CB6">
            <w:pPr>
              <w:pStyle w:val="ConsPlusNormal"/>
              <w:ind w:firstLine="217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 Положении о Комитете по кадрам и вознаграждениям Совета директоров ПАО «Россети Волга» определены задачи комитета, включая в том числе задачи, содержащиеся в рекомендации 180 Код</w:t>
            </w:r>
            <w:r>
              <w:rPr>
                <w:rFonts w:ascii="Times New Roman" w:hAnsi="Times New Roman" w:cs="Times New Roman"/>
                <w:sz w:val="20"/>
              </w:rPr>
              <w:t xml:space="preserve">екса. Однако в силу того, что данная редакция документа была утверждена в 2014 году, она не содержит всех норм, перечисленных в рекомендации, а также не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содержит условия (события), при наступлении которых Комитет по кадрам и вознаграждениям Совета директор</w:t>
            </w:r>
            <w:r>
              <w:rPr>
                <w:rFonts w:ascii="Times New Roman" w:hAnsi="Times New Roman" w:cs="Times New Roman"/>
                <w:sz w:val="20"/>
              </w:rPr>
              <w:t>ов Общества рассматривает вопрос о пересмотре политики Общества по вознаграждению членов Совета директоров Общества, исполнительных органов и иных ключевых руководящих работников Общества.</w:t>
            </w:r>
          </w:p>
          <w:p w:rsidR="00D6448D" w:rsidRDefault="00231CB6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Кодекс корпоративного управления Банка России не содержит рекоменда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ции касательно включения во внутренние документы публичного акционерного общества условий (событий), при наступлении которых Комитет по вознаграждениям рассматривает вопрос о пересмотре политики Общества по вознаграждению членов Совета директоров, исполнит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ельных органов и иных ключевых руководящих работников. </w:t>
            </w:r>
          </w:p>
          <w:p w:rsidR="00D6448D" w:rsidRDefault="00231CB6">
            <w:pPr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Разъяснения относительно того, какие конкретные условия (события) рекомендуется закрепить во внутренних документах, равно как и методика их определения регулятором на настоящий момент не издавалась, ч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то существенно затрудняет выполнение рассматриваемого критерия. </w:t>
            </w:r>
            <w:r>
              <w:rPr>
                <w:rFonts w:ascii="Times New Roman" w:hAnsi="Times New Roman"/>
                <w:sz w:val="20"/>
                <w:lang w:val="ru-RU"/>
              </w:rPr>
              <w:t>Общество планирует внести необходимые изменения во внутренние документы после издания указанных разъяснений.</w:t>
            </w:r>
          </w:p>
        </w:tc>
      </w:tr>
      <w:tr w:rsidR="00D6448D"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keepNext/>
              <w:keepLines/>
              <w:spacing w:before="200"/>
              <w:outlineLvl w:val="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keepNext/>
              <w:keepLines/>
              <w:spacing w:before="200"/>
              <w:outlineLvl w:val="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2.8.3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Для предварительного рассмотрения вопросов, связанных с осуществлением кадрового планирования (планирования преемственности), профессиональным составом и эффективностью работы Совета директоров, создан Комитет по номинациям (назначениям, </w:t>
            </w:r>
            <w:r>
              <w:rPr>
                <w:rFonts w:ascii="Times New Roman" w:hAnsi="Times New Roman" w:cs="Times New Roman"/>
                <w:sz w:val="20"/>
              </w:rPr>
              <w:t>кадрам), большинство членов которого являются независимыми директорами.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Советом директоров создан Комитет по номинациям (или его задачи, указанные в рекомендации </w:t>
            </w:r>
            <w:hyperlink r:id="rId18" w:tooltip="consultantplus://offline/ref=1BC1BBB9FFF42E04B1254D36D8880CD2A8A4B66A853B48F68AE128C2E9AA6BCF211816B8FF5BBE47p5xFH" w:history="1">
              <w:r>
                <w:rPr>
                  <w:rFonts w:ascii="Times New Roman" w:hAnsi="Times New Roman" w:cs="Times New Roman"/>
                  <w:sz w:val="20"/>
                </w:rPr>
                <w:t>186</w:t>
              </w:r>
            </w:hyperlink>
            <w:r>
              <w:rPr>
                <w:rFonts w:ascii="Times New Roman" w:hAnsi="Times New Roman" w:cs="Times New Roman"/>
                <w:sz w:val="20"/>
              </w:rPr>
              <w:t xml:space="preserve"> Кодекса, реализуются в рамках иного комитета), большинство членов которого являются независи</w:t>
            </w:r>
            <w:r>
              <w:rPr>
                <w:rFonts w:ascii="Times New Roman" w:hAnsi="Times New Roman" w:cs="Times New Roman"/>
                <w:sz w:val="20"/>
              </w:rPr>
              <w:t>мыми директорами.</w:t>
            </w:r>
          </w:p>
          <w:p w:rsidR="00D6448D" w:rsidRDefault="00D6448D">
            <w:pPr>
              <w:pStyle w:val="ConsPlusNormal"/>
              <w:tabs>
                <w:tab w:val="left" w:pos="296"/>
              </w:tabs>
              <w:ind w:left="12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tabs>
                <w:tab w:val="left" w:pos="296"/>
              </w:tabs>
              <w:ind w:left="12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Во внутренних документах Общества, определены задачи Комитета по номинациям (или соответствующего комитета с совмещенным функционалом), включая, в том числе, задачи, содержащиеся в рекомендации </w:t>
            </w:r>
            <w:hyperlink r:id="rId19" w:tooltip="consultantplus://offline/ref=1BC1BBB9FFF42E04B1254D36D8880CD2A8A4B66A853B48F68AE128C2E9AA6BCF211816B8FF5BBE47p5xFH" w:history="1">
              <w:r>
                <w:rPr>
                  <w:rFonts w:ascii="Times New Roman" w:hAnsi="Times New Roman" w:cs="Times New Roman"/>
                  <w:sz w:val="20"/>
                </w:rPr>
                <w:t>186</w:t>
              </w:r>
            </w:hyperlink>
            <w:r>
              <w:rPr>
                <w:rFonts w:ascii="Times New Roman" w:hAnsi="Times New Roman" w:cs="Times New Roman"/>
                <w:sz w:val="20"/>
              </w:rPr>
              <w:t xml:space="preserve"> Код</w:t>
            </w:r>
            <w:r>
              <w:rPr>
                <w:rFonts w:ascii="Times New Roman" w:hAnsi="Times New Roman" w:cs="Times New Roman"/>
                <w:sz w:val="20"/>
              </w:rPr>
              <w:t>екса.</w:t>
            </w:r>
          </w:p>
          <w:p w:rsidR="00D6448D" w:rsidRDefault="00D6448D">
            <w:pPr>
              <w:pStyle w:val="ConsPlusNormal"/>
              <w:tabs>
                <w:tab w:val="left" w:pos="296"/>
              </w:tabs>
              <w:ind w:left="12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numPr>
                <w:ilvl w:val="0"/>
                <w:numId w:val="15"/>
              </w:numPr>
              <w:tabs>
                <w:tab w:val="left" w:pos="296"/>
              </w:tabs>
              <w:ind w:left="12" w:firstLine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 целях формирования Совета директоров, наиболее полно отвечающего целям и задачам Общества, Комитет по номинациям в отчетном периоде самостоятельно или совместно с иными комитетами Совета директоров или уполномоченное подразделение Общества организ</w:t>
            </w:r>
            <w:r>
              <w:rPr>
                <w:rFonts w:ascii="Times New Roman" w:hAnsi="Times New Roman" w:cs="Times New Roman"/>
                <w:sz w:val="20"/>
              </w:rPr>
              <w:t xml:space="preserve">овал взаимодействие с акционерами, не ограничиваясь кругом крупнейших акционеров, в контексте подбора кандидатов в Совет директоров Общества.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</w:tcPr>
          <w:p w:rsidR="00D6448D" w:rsidRDefault="00231CB6">
            <w:pPr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eastAsia="Calibri" w:hAnsi="Times New Roman"/>
                <w:sz w:val="20"/>
                <w:szCs w:val="22"/>
                <w:lang w:val="ru-RU"/>
              </w:rPr>
              <w:t>Советом директоров ПАО «Россети Волга» создан Комитет по кадрам и вознаграждениям Совета директоров ПАО «Россети</w:t>
            </w:r>
            <w:r>
              <w:rPr>
                <w:rFonts w:ascii="Times New Roman" w:eastAsia="Calibri" w:hAnsi="Times New Roman"/>
                <w:sz w:val="20"/>
                <w:szCs w:val="22"/>
                <w:lang w:val="ru-RU"/>
              </w:rPr>
              <w:t xml:space="preserve"> Волга», к компетенции которого отнесены задачи комитета по номинациям (назначениям, кадрам), предусмотренные рекомендацией 186 Кодекса.</w:t>
            </w: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numPr>
                <w:ilvl w:val="0"/>
                <w:numId w:val="15"/>
              </w:numPr>
              <w:tabs>
                <w:tab w:val="left" w:pos="296"/>
              </w:tabs>
              <w:ind w:left="12" w:firstLine="0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numPr>
                <w:ilvl w:val="0"/>
                <w:numId w:val="15"/>
              </w:numPr>
              <w:tabs>
                <w:tab w:val="left" w:pos="296"/>
              </w:tabs>
              <w:ind w:left="12" w:firstLine="0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numPr>
                <w:ilvl w:val="0"/>
                <w:numId w:val="15"/>
              </w:numPr>
              <w:tabs>
                <w:tab w:val="left" w:pos="296"/>
              </w:tabs>
              <w:ind w:left="12" w:firstLine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2.8.4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 учетом масштабов </w:t>
            </w:r>
            <w:r>
              <w:rPr>
                <w:rFonts w:ascii="Times New Roman" w:hAnsi="Times New Roman" w:cs="Times New Roman"/>
                <w:sz w:val="20"/>
              </w:rPr>
              <w:t>деятельности и уровня риска Совет директоров Общества удостоверился в том, что состав его комитетов полностью отвечает целям деятельности Общества. Дополнительные комитеты либо были сформированы, либо не были признаны необходимыми (комитет по стратегии, ко</w:t>
            </w:r>
            <w:r>
              <w:rPr>
                <w:rFonts w:ascii="Times New Roman" w:hAnsi="Times New Roman" w:cs="Times New Roman"/>
                <w:sz w:val="20"/>
              </w:rPr>
              <w:t>митет по корпоративному управлению, комитет по этике, комитет по управлению рисками, комитет по бюджету, комитет по здоровью, безопасности и окружающей среде и др.).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 В отчетном периоде Совет директоров Общества рассмотрел вопрос о соответствии структуры</w:t>
            </w:r>
            <w:r>
              <w:rPr>
                <w:rFonts w:ascii="Times New Roman" w:hAnsi="Times New Roman" w:cs="Times New Roman"/>
                <w:sz w:val="20"/>
              </w:rPr>
              <w:t xml:space="preserve"> Совета директоров масштабу и характеру, целям деятельности и потребностям, профилю рисков Общества. Дополнительные комитеты либо были сформированы, либо не были признаны необходимыми.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не </w:t>
            </w: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2.8.5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Состав комитетов определен таким образом, чтобы он позволял проводить всестороннее обсуждение предварительно рассматриваемых вопросов с учетом различных мнений.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numPr>
                <w:ilvl w:val="0"/>
                <w:numId w:val="32"/>
              </w:numPr>
              <w:tabs>
                <w:tab w:val="left" w:pos="225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Комитет по аудиту, комитет по вознаграждениям, комитет по номинациям </w:t>
            </w:r>
            <w:r>
              <w:rPr>
                <w:rFonts w:ascii="Times New Roman" w:hAnsi="Times New Roman" w:cs="Times New Roman"/>
                <w:sz w:val="20"/>
              </w:rPr>
              <w:t>(или соответствующий комитет с совмещенным функционалом) в отчетном периоде возглавлялись независимыми директорами.</w:t>
            </w:r>
          </w:p>
          <w:p w:rsidR="00D6448D" w:rsidRDefault="00D6448D">
            <w:pPr>
              <w:pStyle w:val="ConsPlusNormal"/>
              <w:ind w:left="720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Во внутренних документах (политиках) общества предусмотрены положения, в соответствии с которыми лица, не входящие в состав комитета по </w:t>
            </w:r>
            <w:r>
              <w:rPr>
                <w:rFonts w:ascii="Times New Roman" w:hAnsi="Times New Roman" w:cs="Times New Roman"/>
                <w:sz w:val="20"/>
              </w:rPr>
              <w:t>аудиту, комитета по номинациям (или соответствующий комитет с совмещенным функционалом) и комитета по вознаграждениям, могут посещать заседания комитетов только по приглашению председателя соответствующего комитета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2.8.6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Председатели комитетов регулярно информируют Совет директоров и его председателя о работе своих комитетов.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В течение отчетного периода председатели комитетов регулярно отчитывались о работе </w:t>
            </w:r>
            <w:r>
              <w:rPr>
                <w:rFonts w:ascii="Times New Roman" w:hAnsi="Times New Roman" w:cs="Times New Roman"/>
                <w:sz w:val="20"/>
              </w:rPr>
              <w:t>комитетов перед Советом директоров.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2.9</w:t>
            </w:r>
          </w:p>
        </w:tc>
        <w:tc>
          <w:tcPr>
            <w:tcW w:w="2069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Совет директоров обеспечивает проведение оценки качества работы Совета директоров, его комитетов и членов Совета директоров.</w:t>
            </w: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2.9.1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Проведение оценки качества работы Совета директоров направлено на определение степени эффективности работы Совета директоров, комитетов и членов Совета директоров, соответствия их работы потребностям развития Общества, активизацию работы Совета дире</w:t>
            </w:r>
            <w:r>
              <w:rPr>
                <w:rFonts w:ascii="Times New Roman" w:hAnsi="Times New Roman" w:cs="Times New Roman"/>
                <w:sz w:val="20"/>
              </w:rPr>
              <w:t>кторов и выявление областей, в которых их деятельность может быть улучшена.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</w:t>
            </w:r>
            <w:r>
              <w:rPr>
                <w:rFonts w:ascii="Times New Roman" w:hAnsi="Times New Roman"/>
                <w:sz w:val="20"/>
              </w:rPr>
              <w:t>Во внутренних документах общества определены процедуры проведения оценки (самооценки) качества работы совета директоров.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</w:t>
            </w:r>
            <w:r>
              <w:rPr>
                <w:rFonts w:ascii="Times New Roman" w:hAnsi="Times New Roman"/>
                <w:sz w:val="20"/>
              </w:rPr>
              <w:t xml:space="preserve">Оценка (самооценка) качества работы совета </w:t>
            </w:r>
            <w:r>
              <w:rPr>
                <w:rFonts w:ascii="Times New Roman" w:hAnsi="Times New Roman"/>
                <w:sz w:val="20"/>
              </w:rPr>
              <w:t>директоров, проведенная в отчетном периоде, включала оценку работы комитетов, индивидуальную оценку каждого члена совета директоров и совета директоров в целом.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ind w:left="12" w:firstLine="142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 Результаты оценки (самооценки) качества работы совета директоров, проведенной в течение отч</w:t>
            </w:r>
            <w:r>
              <w:rPr>
                <w:rFonts w:ascii="Times New Roman" w:hAnsi="Times New Roman" w:cs="Times New Roman"/>
                <w:sz w:val="20"/>
              </w:rPr>
              <w:t>етного периода, были рассмотрены на очном заседании совета директоров.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 Соблюдается.</w:t>
            </w: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 Соблюдается.</w:t>
            </w: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3. Частично соблюдается. </w:t>
            </w:r>
          </w:p>
          <w:p w:rsidR="00D6448D" w:rsidRDefault="00231CB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</w:rPr>
              <w:t>Отчет об итогах внешней (независимой) оценки качества работы Совета директоров ПАО «Россети</w:t>
            </w:r>
            <w:r>
              <w:rPr>
                <w:rFonts w:ascii="Times New Roman" w:hAnsi="Times New Roman" w:cs="Times New Roman"/>
                <w:color w:val="auto"/>
                <w:sz w:val="20"/>
              </w:rPr>
              <w:t xml:space="preserve"> Волга», Комитетов Совета директоров и членов Совета директоров ПАО «Россети Волга» за 2024 – 2025 корпоративный год рассмотрен Советом директоров 09.07.2025 (протокол от 10.07.2025 № 1) путем заочного голосования.</w:t>
            </w:r>
          </w:p>
          <w:p w:rsidR="00D6448D" w:rsidRDefault="00231CB6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В 2025 году планировалось рассмотреть рез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ультаты оценки работы Совета директоров Общества по итогам 2023-2024 года на очном заседании Совета директоров. Однако преобладающее большинство заседаний Совета директоров Общества прошло в форме заочного голосования.</w:t>
            </w: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При проведении оценки эффективности р</w:t>
            </w:r>
            <w:r>
              <w:rPr>
                <w:rFonts w:ascii="Times New Roman" w:hAnsi="Times New Roman" w:cs="Times New Roman"/>
                <w:sz w:val="20"/>
              </w:rPr>
              <w:t xml:space="preserve">аботы Совета директоров Общества в 2026 году Общество планирует рассмотреть результаты оценки на очном заседании Совета директоров Общества. Окончательное решение о форме проведения заседания принимается Председателем Совета директоров Общества. </w:t>
            </w: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keepNext/>
              <w:keepLines/>
              <w:spacing w:before="200"/>
              <w:outlineLvl w:val="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2.9.2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Оценка работы Совета директоров, комитетов и членов Совета директоров осуществляется на регулярной основе не реже одного раза в год. Для проведения независимой оценки </w:t>
            </w:r>
            <w:r>
              <w:rPr>
                <w:rFonts w:ascii="Times New Roman" w:hAnsi="Times New Roman" w:cs="Times New Roman"/>
                <w:sz w:val="20"/>
              </w:rPr>
              <w:t>качества работы Совета директоров не реже одного раза в три года привлекается внешняя организация (консультант).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 Для проведения независимой оценки качества работы Совета директоров в течение трех последних отчетных периодов по меньшей мере один раз Обще</w:t>
            </w:r>
            <w:r>
              <w:rPr>
                <w:rFonts w:ascii="Times New Roman" w:hAnsi="Times New Roman" w:cs="Times New Roman"/>
                <w:sz w:val="20"/>
              </w:rPr>
              <w:t>ством привлекалась внешняя организация (консультант).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rPr>
          <w:gridAfter w:val="7"/>
          <w:wAfter w:w="20696" w:type="dxa"/>
        </w:trPr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3.1</w:t>
            </w: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Корпоративный секретарь обладает знаниями, опытом и квалификацией, достаточными для исполнения </w:t>
            </w:r>
            <w:r>
              <w:rPr>
                <w:rFonts w:ascii="Times New Roman" w:hAnsi="Times New Roman" w:cs="Times New Roman"/>
                <w:sz w:val="20"/>
              </w:rPr>
              <w:t>возложенных на него обязанностей, безупречной репутацией и пользуется доверием акционеров.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</w:t>
            </w:r>
            <w:r>
              <w:rPr>
                <w:rFonts w:ascii="Times New Roman" w:hAnsi="Times New Roman"/>
                <w:sz w:val="20"/>
              </w:rPr>
              <w:t>На сайте общества в сети Интернет и в годовом отчете представлена биографическая информация о корпоративном секретаре (включая сведения о возрасте, образовании, к</w:t>
            </w:r>
            <w:r>
              <w:rPr>
                <w:rFonts w:ascii="Times New Roman" w:hAnsi="Times New Roman"/>
                <w:sz w:val="20"/>
              </w:rPr>
              <w:t>валификации, опыте), а также сведения о должностях в органах управления иных юридических лиц, занимаемых корпоративным секретарем в течение не менее чем пяти последних лет.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3.1.2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Корпоративный секретарь обладает достаточной независимостью от исполнительных органов Общества и имеет необходимые полномочия и ресурсы для выполнения поставленных перед ним задач.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</w:t>
            </w:r>
            <w:r>
              <w:rPr>
                <w:rFonts w:ascii="Times New Roman" w:hAnsi="Times New Roman"/>
                <w:sz w:val="20"/>
              </w:rPr>
              <w:t xml:space="preserve">В обществе принят и раскрыт внутренний документ - </w:t>
            </w:r>
            <w:r>
              <w:rPr>
                <w:rFonts w:ascii="Times New Roman" w:hAnsi="Times New Roman"/>
                <w:sz w:val="20"/>
              </w:rPr>
              <w:t>положение о корпоративном секретаре.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</w:t>
            </w:r>
            <w:r>
              <w:rPr>
                <w:rFonts w:ascii="Times New Roman" w:eastAsiaTheme="minorHAnsi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Совет директоров утверждает кандидатуру на должность Корпоративного секретаря и прекращает его полномочия, рассматривает вопрос о выплате ему дополнительного вознаграждения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</w:t>
            </w:r>
            <w:r>
              <w:rPr>
                <w:rFonts w:ascii="Times New Roman" w:eastAsiaTheme="minorHAnsi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Во внутренних документах Общества закр</w:t>
            </w:r>
            <w:r>
              <w:rPr>
                <w:rFonts w:ascii="Times New Roman" w:hAnsi="Times New Roman"/>
                <w:sz w:val="20"/>
              </w:rPr>
              <w:t>еплено право Корпоративного секретаря запрашивать, получать документы общества и информацию у органов управления, структурных подразделений и должностных лиц Общества.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4.1</w:t>
            </w:r>
          </w:p>
        </w:tc>
        <w:tc>
          <w:tcPr>
            <w:tcW w:w="2069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Уровень выплачиваемого Обществом вознаграждения достаточен для привлечения, мотивации и удержания лиц, обладающих необходимой для Общества компетенцией и квалификацией. Выплата вознаграждения членам Совета директоров, исполнительным органам и иным </w:t>
            </w:r>
            <w:r>
              <w:rPr>
                <w:rFonts w:ascii="Times New Roman" w:hAnsi="Times New Roman" w:cs="Times New Roman"/>
                <w:b/>
                <w:sz w:val="20"/>
              </w:rPr>
              <w:t>ключевым руководящим работникам Общества осуществляется в соответствии с принятой в Обществе политикой по вознаграждению.</w:t>
            </w: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4.1.1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Уровень вознаграждения, предоставляемого обществом членам Совета директоров, исполнительным органам и иным ключевым руководящим</w:t>
            </w:r>
            <w:r>
              <w:rPr>
                <w:rFonts w:ascii="Times New Roman" w:hAnsi="Times New Roman" w:cs="Times New Roman"/>
                <w:sz w:val="20"/>
              </w:rPr>
              <w:t xml:space="preserve"> работникам, создает достаточную мотивацию для их эффективной работы, позволяя Обществу привлекать и удерживать компетентных и квалифицированных специалистов. При этом Общество избегает большего, чем это необходимо, уровня вознаграждения, а также неоправда</w:t>
            </w:r>
            <w:r>
              <w:rPr>
                <w:rFonts w:ascii="Times New Roman" w:hAnsi="Times New Roman" w:cs="Times New Roman"/>
                <w:sz w:val="20"/>
              </w:rPr>
              <w:t>нно большого разрыва между уровнями вознаграждения указанных лиц и работников Общества.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</w:t>
            </w:r>
            <w:r>
              <w:rPr>
                <w:rFonts w:ascii="Times New Roman" w:hAnsi="Times New Roman"/>
                <w:sz w:val="20"/>
              </w:rPr>
              <w:t>Вознаграждение членов Совета директоров, исполнительных органов и иных ключевых руководящих работников общества определено с учетом результатов сравнительного анализ</w:t>
            </w:r>
            <w:r>
              <w:rPr>
                <w:rFonts w:ascii="Times New Roman" w:hAnsi="Times New Roman"/>
                <w:sz w:val="20"/>
              </w:rPr>
              <w:t>а уровня вознаграждения в сопоставимых компаниях.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4.1.2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Политика Общества по вознаграждению разработана Комитетом по вознаграждениям и утверждена Советом директоров</w:t>
            </w:r>
            <w:r>
              <w:rPr>
                <w:rFonts w:ascii="Times New Roman" w:hAnsi="Times New Roman" w:cs="Times New Roman"/>
                <w:sz w:val="20"/>
              </w:rPr>
              <w:t xml:space="preserve"> Общества. Совет директоров при поддержке Комитета по вознаграждениям обеспечивает контроль за внедрением и реализацией в Обществе политики по вознаграждению, а при необходимости – пересматривает и вносит в нее коррективы.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</w:t>
            </w:r>
            <w:r>
              <w:rPr>
                <w:rFonts w:ascii="Times New Roman" w:hAnsi="Times New Roman"/>
                <w:sz w:val="20"/>
              </w:rPr>
              <w:t>В течение отчетного периода ко</w:t>
            </w:r>
            <w:r>
              <w:rPr>
                <w:rFonts w:ascii="Times New Roman" w:hAnsi="Times New Roman"/>
                <w:sz w:val="20"/>
              </w:rPr>
              <w:t>митет по вознаграждениям рассмотрел политику (политики) по вознаграждениям и (или) практику ее (их) внедрения, осуществил оценку их эффективности и прозрачности и при необходимости представил соответствующие рекомендации совету директоров по пересмотру ука</w:t>
            </w:r>
            <w:r>
              <w:rPr>
                <w:rFonts w:ascii="Times New Roman" w:hAnsi="Times New Roman"/>
                <w:sz w:val="20"/>
              </w:rPr>
              <w:t>занной политики (политик).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4.1.3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Политика Общества по вознаграждению содержит прозрачные механизмы определения размера вознаграждения членов Совета</w:t>
            </w:r>
            <w:r>
              <w:rPr>
                <w:rFonts w:ascii="Times New Roman" w:hAnsi="Times New Roman" w:cs="Times New Roman"/>
                <w:sz w:val="20"/>
              </w:rPr>
              <w:t xml:space="preserve"> директоров, исполнительных органов и иных ключевых руководящих работников Общества, а также регламентирует все виды выплат, льгот и привилегий, предоставляемых указанным лицам.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</w:t>
            </w:r>
            <w:r>
              <w:rPr>
                <w:rFonts w:ascii="Times New Roman" w:hAnsi="Times New Roman"/>
                <w:sz w:val="20"/>
              </w:rPr>
              <w:t>Политика (политики) общества по вознаграждению содержит (содержат) прозрачн</w:t>
            </w:r>
            <w:r>
              <w:rPr>
                <w:rFonts w:ascii="Times New Roman" w:hAnsi="Times New Roman"/>
                <w:sz w:val="20"/>
              </w:rPr>
              <w:t>ые механизмы определения размера вознаграждения членов совета директоров, исполнительных органов и иных ключевых руководящих работников общества, а также регламентирует (регламентируют) все виды выплат, льгот и привилегий, предоставляемых указанным лицам.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4.1.4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Общество определяет политику возмещения расходов (компенсаций), конкретизирующую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перечень расходов, подлежащих возмещению, и уровень обслуживания, на который </w:t>
            </w:r>
            <w:r>
              <w:rPr>
                <w:rFonts w:ascii="Times New Roman" w:hAnsi="Times New Roman" w:cs="Times New Roman"/>
                <w:sz w:val="20"/>
              </w:rPr>
              <w:t>могут претендовать члены Совета директоров, исполнительные органы и иные ключевые руководящие работники Общества. Такая политика может быть составной частью политики Общества по вознаграждению.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1. </w:t>
            </w:r>
            <w:r>
              <w:rPr>
                <w:rFonts w:ascii="Times New Roman" w:hAnsi="Times New Roman"/>
                <w:sz w:val="20"/>
              </w:rPr>
              <w:t>В политике (политиках) по вознаграждению или в иных внутрен</w:t>
            </w:r>
            <w:r>
              <w:rPr>
                <w:rFonts w:ascii="Times New Roman" w:hAnsi="Times New Roman"/>
                <w:sz w:val="20"/>
              </w:rPr>
              <w:t xml:space="preserve">них документах Общества установлены правила возмещения расходов </w:t>
            </w:r>
            <w:r>
              <w:rPr>
                <w:rFonts w:ascii="Times New Roman" w:hAnsi="Times New Roman"/>
                <w:sz w:val="20"/>
              </w:rPr>
              <w:lastRenderedPageBreak/>
              <w:t>членов совета директоров, исполнительных органов и иных ключевых руководящих работников общества.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5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4.2</w:t>
            </w:r>
          </w:p>
        </w:tc>
        <w:tc>
          <w:tcPr>
            <w:tcW w:w="2069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Система вознаграждения членов Совета директоров обеспечивает сближение финансовых интересов директоров с долгосрочными финансовыми интересами акционеров.</w:t>
            </w: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4.2.1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Общество выплачивает фиксированное годовое вознаграждение членам Совета директоров. </w:t>
            </w:r>
            <w:r>
              <w:rPr>
                <w:rFonts w:ascii="Times New Roman" w:hAnsi="Times New Roman" w:cs="Times New Roman"/>
                <w:sz w:val="20"/>
              </w:rPr>
              <w:t>Общество не выплачивает вознаграждение за участие в отдельных заседаниях Совета или комитетов Совета директоров.</w:t>
            </w: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Общество не применяет формы краткосрочной мотивации и дополнительного материального стимулирования в отношении членов Совета директоров.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</w:t>
            </w:r>
            <w:r>
              <w:rPr>
                <w:rFonts w:ascii="Times New Roman" w:hAnsi="Times New Roman"/>
                <w:sz w:val="20"/>
              </w:rPr>
              <w:t>В о</w:t>
            </w:r>
            <w:r>
              <w:rPr>
                <w:rFonts w:ascii="Times New Roman" w:hAnsi="Times New Roman"/>
                <w:sz w:val="20"/>
              </w:rPr>
              <w:t>тчетном периоде Общество выплачивало вознаграждение членам совета директоров в соответствии с принятой в обществе политикой по вознаграждению.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</w:t>
            </w:r>
            <w:r>
              <w:rPr>
                <w:rFonts w:ascii="Times New Roman" w:eastAsiaTheme="minorHAnsi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В отчетном периоде Обществом в отношении членов совета директоров не применялись формы краткосрочной мотиваци</w:t>
            </w:r>
            <w:r>
              <w:rPr>
                <w:rFonts w:ascii="Times New Roman" w:hAnsi="Times New Roman"/>
                <w:sz w:val="20"/>
              </w:rPr>
              <w:t xml:space="preserve">и, дополнительного материального стимулирования, выплата которого зависит от результатов (показателей) деятельности общества. Выплата вознаграждения за участие в отдельных заседаниях совета или комитетов совета директоров не осуществлялась.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6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rPr>
          <w:trHeight w:val="3150"/>
        </w:trPr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4.2.2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Долгосрочное владение акциями Общества в наибольшей степени способствует сближению финансовых интересов членов Совета директоров с долгосрочными интересами акционеров. При этом Общество не обуславливает права реализации акций достижением определенных показ</w:t>
            </w:r>
            <w:r>
              <w:rPr>
                <w:rFonts w:ascii="Times New Roman" w:hAnsi="Times New Roman" w:cs="Times New Roman"/>
                <w:sz w:val="20"/>
              </w:rPr>
              <w:t xml:space="preserve">ателей деятельности, а члены Совета директоров не участвуют в опционных программах. 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6448D" w:rsidRDefault="00231CB6">
            <w:pPr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1. </w:t>
            </w:r>
            <w:r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Если внутренний документ (документы) - политика (политики) по вознаграждению Общества - предусматривает (предусматривают) предоставление акций общества членам совета ди</w:t>
            </w:r>
            <w:r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ректоров, должны быть предусмотрены и раскрыты четкие правила владения акциями членами совета директоров, нацеленные на стимулирование долгосрочного владения такими акциями</w:t>
            </w:r>
            <w:r>
              <w:rPr>
                <w:rFonts w:ascii="Times New Roman" w:hAnsi="Times New Roman"/>
                <w:sz w:val="20"/>
                <w:lang w:val="ru-RU"/>
              </w:rPr>
              <w:t>.</w:t>
            </w:r>
          </w:p>
        </w:tc>
        <w:tc>
          <w:tcPr>
            <w:tcW w:w="9639" w:type="dxa"/>
            <w:gridSpan w:val="5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ind w:right="81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Оценка соответствия критерию в настоящем пункте не может быть дана, так как </w:t>
            </w:r>
            <w:r>
              <w:rPr>
                <w:rFonts w:ascii="Times New Roman" w:hAnsi="Times New Roman" w:cs="Times New Roman"/>
                <w:sz w:val="20"/>
              </w:rPr>
              <w:t>внутренний документ (документы) – политика (политики) по вознаграждению членов Совета директоров Общества не предусматривает (не предусматривают) предоставление акций Общества членам Совета директоров.</w:t>
            </w: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4.2.3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 Обществе не предусмотрены какие-либо дополнит</w:t>
            </w:r>
            <w:r>
              <w:rPr>
                <w:rFonts w:ascii="Times New Roman" w:hAnsi="Times New Roman" w:cs="Times New Roman"/>
                <w:sz w:val="20"/>
              </w:rPr>
              <w:t>ельные выплаты или компенсации в случае досрочного прекращения полномочий членов Совета директоров в связи с переходом контроля над Обществом или иными обстоятельствами.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 В Обществе не предусмотрены какие-либо дополнительные выплаты или компенсации в слу</w:t>
            </w:r>
            <w:r>
              <w:rPr>
                <w:rFonts w:ascii="Times New Roman" w:hAnsi="Times New Roman" w:cs="Times New Roman"/>
                <w:sz w:val="20"/>
              </w:rPr>
              <w:t>чае досрочного прекращения полномочий членов Совета директоров в связи с переходом контроля над Обществом или иными обстоятельствами.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4.3</w:t>
            </w:r>
          </w:p>
        </w:tc>
        <w:tc>
          <w:tcPr>
            <w:tcW w:w="2069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Система </w:t>
            </w:r>
            <w:r>
              <w:rPr>
                <w:rFonts w:ascii="Times New Roman" w:hAnsi="Times New Roman" w:cs="Times New Roman"/>
                <w:b/>
                <w:sz w:val="20"/>
              </w:rPr>
              <w:t>вознаграждения членов исполнительных органов и иных ключевых руководящих работников Общества предусматривает зависимость вознаграждения от результата работы Общества и их личного вклада в достижение этого результата.</w:t>
            </w: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4.3.1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Вознаграждение членов исполнител</w:t>
            </w:r>
            <w:r>
              <w:rPr>
                <w:rFonts w:ascii="Times New Roman" w:hAnsi="Times New Roman" w:cs="Times New Roman"/>
                <w:sz w:val="20"/>
              </w:rPr>
              <w:t xml:space="preserve">ьных органов и иных ключевых руководящих работников Общества определяется таким образом, чтобы обеспечивать разумное и обоснованное соотношение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фиксированной части вознаграждения и переменной части вознаграждения, зависящей от результатов работы Общества и</w:t>
            </w:r>
            <w:r>
              <w:rPr>
                <w:rFonts w:ascii="Times New Roman" w:hAnsi="Times New Roman" w:cs="Times New Roman"/>
                <w:sz w:val="20"/>
              </w:rPr>
              <w:t xml:space="preserve"> личного (индивидуального) вклада работника в конечный результат.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1. В течение отчетного периода одобренные Советом директоров годовые показатели эффективности использовались при определении размера переменного вознаграждения членов исполнительных органов </w:t>
            </w:r>
            <w:r>
              <w:rPr>
                <w:rFonts w:ascii="Times New Roman" w:hAnsi="Times New Roman" w:cs="Times New Roman"/>
                <w:sz w:val="20"/>
              </w:rPr>
              <w:t>и иных ключевых руководящих работников Общества.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 В ходе последней проведенной оценки системы вознаграждения членов исполнительных органов и иных ключевых руководящих работников Общества, Совет директоров (Комитет по вознаграждениям) удостоверился в том</w:t>
            </w:r>
            <w:r>
              <w:rPr>
                <w:rFonts w:ascii="Times New Roman" w:hAnsi="Times New Roman" w:cs="Times New Roman"/>
                <w:sz w:val="20"/>
              </w:rPr>
              <w:t>, что в Обществе применяется эффективное соотношение фиксированной части вознаграждения и переменной части вознаграждения.</w:t>
            </w:r>
          </w:p>
          <w:p w:rsidR="00D6448D" w:rsidRDefault="00D6448D">
            <w:pPr>
              <w:jc w:val="both"/>
              <w:rPr>
                <w:rFonts w:ascii="Times New Roman" w:hAnsi="Times New Roman"/>
                <w:sz w:val="20"/>
                <w:lang w:val="ru-RU"/>
              </w:rPr>
            </w:pPr>
          </w:p>
          <w:p w:rsidR="00D6448D" w:rsidRDefault="00231CB6">
            <w:pPr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3. </w:t>
            </w:r>
            <w:r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При определении размера выплачиваемого вознаграждения членам исполнительных органов и иным ключевым руководящим работникам Общест</w:t>
            </w:r>
            <w:r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ва учитываются риски, которое несет Общество, с тем чтобы избежать создания стимулов к принятию чрезмерно рискованных управленческих решений</w:t>
            </w:r>
            <w:r>
              <w:rPr>
                <w:rFonts w:ascii="Times New Roman" w:hAnsi="Times New Roman"/>
                <w:sz w:val="20"/>
                <w:lang w:val="ru-RU"/>
              </w:rPr>
              <w:t>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Theme="minorHAnsi" w:hAnsiTheme="minorHAnsi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Порядком расчета ключевых показателей эффективности и функциональных ключевых показателей эффективности руководящ</w:t>
            </w:r>
            <w:r>
              <w:rPr>
                <w:rFonts w:ascii="Times New Roman" w:hAnsi="Times New Roman" w:cs="Times New Roman"/>
                <w:sz w:val="20"/>
              </w:rPr>
              <w:t xml:space="preserve">его состава Общества» утвержденным  решением Совета директоров ПАО «Россети Волга»  от 19.08.2025 (протокол от 20.08.2025 № 3)  для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руководящего состава Общества установлены годовые ключевые показатели эффективности, связанные со стратегическими документам</w:t>
            </w:r>
            <w:r>
              <w:rPr>
                <w:rFonts w:ascii="Times New Roman" w:hAnsi="Times New Roman" w:cs="Times New Roman"/>
                <w:sz w:val="20"/>
              </w:rPr>
              <w:t>и Российской Федерации, группы «Россети», самого Общества, функциональные ключевые показатели эффективности – индивидуальные показатели, устанавливаемые для должностных лиц руководящего состава персонально и с учетом специфики курируемых ими направлений де</w:t>
            </w:r>
            <w:r>
              <w:rPr>
                <w:rFonts w:ascii="Times New Roman" w:hAnsi="Times New Roman" w:cs="Times New Roman"/>
                <w:sz w:val="20"/>
              </w:rPr>
              <w:t>ятельности Общества, характеризующий результат деятельности должностных лиц руководящего состава Общества или реализацию отдельных значимых проектов, а также показатели депремирования – показатели, превышение (недостижение) порогового значения которых сниж</w:t>
            </w:r>
            <w:r>
              <w:rPr>
                <w:rFonts w:ascii="Times New Roman" w:hAnsi="Times New Roman" w:cs="Times New Roman"/>
                <w:sz w:val="20"/>
              </w:rPr>
              <w:t>ает размер вознаграждения руководящего состава Общества за достижение КПЭ.</w:t>
            </w: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134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724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rPr>
          <w:trHeight w:val="2897"/>
        </w:trPr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4.3.2</w:t>
            </w:r>
          </w:p>
        </w:tc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Общество внедрило программу долгосрочной мотивации членов исполнительных органов и </w:t>
            </w:r>
            <w:r>
              <w:rPr>
                <w:rFonts w:ascii="Times New Roman" w:hAnsi="Times New Roman" w:cs="Times New Roman"/>
                <w:sz w:val="20"/>
              </w:rPr>
              <w:t>иных ключевых руководящих работников Общества с использованием акций Общества (опционов или других производных финансовых инструментов, базисным активом по которым являются акции Общества).</w:t>
            </w:r>
          </w:p>
        </w:tc>
        <w:tc>
          <w:tcPr>
            <w:tcW w:w="6378" w:type="dxa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1. </w:t>
            </w:r>
            <w:r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В случае, если общество внедрило программу долгосрочной мотивац</w:t>
            </w:r>
            <w:r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ии для членов исполнительных органов и иных ключевых руководящих работников общества с использованием акций общества (финансовых инструментов, основанных на акциях общества), программа предусматривает, что право реализации таких акций и иных финансовых инс</w:t>
            </w:r>
            <w:r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трументов наступает не ранее чем через три года с момента их предоставления. При этом право их реализации обусловлено достижением определенных показателей деятельности общества. </w:t>
            </w:r>
          </w:p>
        </w:tc>
        <w:tc>
          <w:tcPr>
            <w:tcW w:w="963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ind w:right="223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MS Mincho" w:hAnsi="Times New Roman" w:cs="Times New Roman"/>
                <w:sz w:val="20"/>
                <w:lang w:eastAsia="en-US"/>
              </w:rPr>
              <w:t>Оценка соответствия критерию в настоящем пункте не может быть дана, так как о</w:t>
            </w:r>
            <w:r>
              <w:rPr>
                <w:rFonts w:ascii="Times New Roman" w:eastAsia="MS Mincho" w:hAnsi="Times New Roman" w:cs="Times New Roman"/>
                <w:sz w:val="20"/>
                <w:lang w:eastAsia="en-US"/>
              </w:rPr>
              <w:t>бщество не внедрило программу долгосрочной мотивации для членов исполнительных органов и иных ключевых руководящих работников общества с использованием акций общества (финансовых инструментов, основанных на акциях общества)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4.3.3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Сумма компенсации (золот</w:t>
            </w:r>
            <w:r>
              <w:rPr>
                <w:rFonts w:ascii="Times New Roman" w:hAnsi="Times New Roman" w:cs="Times New Roman"/>
                <w:sz w:val="20"/>
              </w:rPr>
              <w:t>ой парашют), выплачиваемая Обществом в случае досрочного прекращения полномочий членам исполнительных органов или ключевых руководящих работников по инициативе Общества и при отсутствии с их стороны недобросовестных действий, не превышает двукратного разме</w:t>
            </w:r>
            <w:r>
              <w:rPr>
                <w:rFonts w:ascii="Times New Roman" w:hAnsi="Times New Roman" w:cs="Times New Roman"/>
                <w:sz w:val="20"/>
              </w:rPr>
              <w:t>ра фиксированной части годового вознаграждения.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 Сумма компенсации (золотой парашют), выплачиваемая Обществом в случае досрочного прекращения полномочий членам исполнительных органов или ключевых руководящих работников по инициативе Общества и при отсутс</w:t>
            </w:r>
            <w:r>
              <w:rPr>
                <w:rFonts w:ascii="Times New Roman" w:hAnsi="Times New Roman" w:cs="Times New Roman"/>
                <w:sz w:val="20"/>
              </w:rPr>
              <w:t>твии с их стороны недобросовестных действий, в отчетном периоде не превышала двукратного размера фиксированной части годового вознаграждения.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5.1</w:t>
            </w:r>
          </w:p>
        </w:tc>
        <w:tc>
          <w:tcPr>
            <w:tcW w:w="2069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В Обществе создана </w:t>
            </w:r>
            <w:r>
              <w:rPr>
                <w:rFonts w:ascii="Times New Roman" w:hAnsi="Times New Roman" w:cs="Times New Roman"/>
                <w:b/>
                <w:sz w:val="20"/>
              </w:rPr>
              <w:t>эффективно функционирующая система управления рисками и внутреннего контроля, направленная на обеспечение разумной уверенности в достижении поставленных перед Обществом целей.</w:t>
            </w: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5.1.1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Советом директоров Общества определены принципы и подходы к организации с</w:t>
            </w:r>
            <w:r>
              <w:rPr>
                <w:rFonts w:ascii="Times New Roman" w:hAnsi="Times New Roman" w:cs="Times New Roman"/>
                <w:sz w:val="20"/>
              </w:rPr>
              <w:t>истемы управления рисками и внутреннего контроля в Обществе.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 Функции различных органов управления и подразделений Общества в системе управления рисками и внутреннего контроля четко определены во внутренних документах / соответствующей политике Общества,</w:t>
            </w:r>
            <w:r>
              <w:rPr>
                <w:rFonts w:ascii="Times New Roman" w:hAnsi="Times New Roman" w:cs="Times New Roman"/>
                <w:sz w:val="20"/>
              </w:rPr>
              <w:t xml:space="preserve"> одобренной Советом директоров.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5.1.2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Исполнительные органы Общества обеспечивают создание и поддержание функционирования эффективной системы управления рисками и </w:t>
            </w:r>
            <w:r>
              <w:rPr>
                <w:rFonts w:ascii="Times New Roman" w:hAnsi="Times New Roman" w:cs="Times New Roman"/>
                <w:sz w:val="20"/>
              </w:rPr>
              <w:t>внутреннего контроля в Обществе.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 Исполнительные органы Общества обеспечили распределение обязанностей, полномочий, ответственности в области управления рисками и внутреннего контроля между подотчетными им руководителями (начальниками) подразделений и от</w:t>
            </w:r>
            <w:r>
              <w:rPr>
                <w:rFonts w:ascii="Times New Roman" w:hAnsi="Times New Roman" w:cs="Times New Roman"/>
                <w:sz w:val="20"/>
              </w:rPr>
              <w:t>делов.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rPr>
          <w:trHeight w:val="22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5.1.3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Система управления рисками и внутреннего контроля в Обществе обеспечивает объективное, справедливое и ясное представление о текущем состоянии и </w:t>
            </w:r>
            <w:r>
              <w:rPr>
                <w:rFonts w:ascii="Times New Roman" w:hAnsi="Times New Roman" w:cs="Times New Roman"/>
                <w:sz w:val="20"/>
              </w:rPr>
              <w:t>перспективах Общества, целостность и прозрачность отчетности Общества, разумность и приемлемость принимаемых Обществом рисков.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numPr>
                <w:ilvl w:val="0"/>
                <w:numId w:val="18"/>
              </w:numPr>
              <w:tabs>
                <w:tab w:val="left" w:pos="296"/>
              </w:tabs>
              <w:ind w:left="0" w:firstLine="12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 Обществе утверждена антикоррупционная политика.</w:t>
            </w:r>
          </w:p>
          <w:p w:rsidR="00D6448D" w:rsidRDefault="00D6448D">
            <w:pPr>
              <w:pStyle w:val="ConsPlusNormal"/>
              <w:ind w:left="915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</w:t>
            </w:r>
            <w:r>
              <w:rPr>
                <w:rFonts w:ascii="Times New Roman" w:hAnsi="Times New Roman"/>
                <w:sz w:val="20"/>
              </w:rPr>
              <w:t xml:space="preserve">В обществе организован безопасный, конфиденциальный и доступный способ </w:t>
            </w:r>
            <w:r>
              <w:rPr>
                <w:rFonts w:ascii="Times New Roman" w:hAnsi="Times New Roman"/>
                <w:sz w:val="20"/>
              </w:rPr>
              <w:t>(горячая линия) информирования совета директоров или комитета совета директоров по аудиту о фактах нарушения законодательства, внутренних процедур, кодекса этики общества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5.1.4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Совет директоров Общества предпринимает необходимые меры для того, чтобы убедиться, что действующая в Обществе система управления рисками и внутреннего контроля соответствует определенным Советом директоров принципам и подходам к ее </w:t>
            </w:r>
            <w:r>
              <w:rPr>
                <w:rFonts w:ascii="Times New Roman" w:hAnsi="Times New Roman" w:cs="Times New Roman"/>
                <w:sz w:val="20"/>
              </w:rPr>
              <w:t>организации и эффективно функционирует.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numPr>
                <w:ilvl w:val="0"/>
                <w:numId w:val="35"/>
              </w:numPr>
              <w:tabs>
                <w:tab w:val="left" w:pos="225"/>
              </w:tabs>
              <w:ind w:left="0" w:firstLine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течение отчетного периода совет директоров (комитет по аудиту и (или) комитет по рискам (при наличии) организовал проведение оценки надежности и эффективности системы управления рисками и внутреннего контроля.</w:t>
            </w:r>
          </w:p>
          <w:p w:rsidR="00D6448D" w:rsidRDefault="00D6448D">
            <w:pPr>
              <w:pStyle w:val="ConsPlusNormal"/>
              <w:ind w:left="720"/>
              <w:jc w:val="both"/>
              <w:rPr>
                <w:rFonts w:ascii="Times New Roman" w:hAnsi="Times New Roman"/>
                <w:sz w:val="20"/>
              </w:rPr>
            </w:pP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</w:t>
            </w:r>
            <w:r>
              <w:rPr>
                <w:rFonts w:ascii="Times New Roman" w:eastAsiaTheme="minorHAnsi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В отчетном периоде Совет директоров рассмотрел результаты оценки надежности и эффективности системы управления рисками и внутреннего контроля Общества и сведения о результатах рассмотрения включены в состав годового отчета Общества.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138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5.2</w:t>
            </w:r>
          </w:p>
        </w:tc>
        <w:tc>
          <w:tcPr>
            <w:tcW w:w="2069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Для систематической независимой оценки надежности и эффективности системы управления рисками и внутреннего контроля, и практики корпоративного управления Общество организовывает </w:t>
            </w:r>
            <w:r>
              <w:rPr>
                <w:rFonts w:ascii="Times New Roman" w:hAnsi="Times New Roman" w:cs="Times New Roman"/>
                <w:b/>
                <w:sz w:val="20"/>
              </w:rPr>
              <w:t>проведение внутреннего аудита.</w:t>
            </w: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5.2.1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Для проведения внутреннего аудита в Обществе создано отдельное структурное подразделение или привлечена независимая внешняя организация. Функциональная и административная подотчетность подразделения внутреннего аудита </w:t>
            </w:r>
            <w:r>
              <w:rPr>
                <w:rFonts w:ascii="Times New Roman" w:hAnsi="Times New Roman" w:cs="Times New Roman"/>
                <w:sz w:val="20"/>
              </w:rPr>
              <w:t>разграничены. Функционально подразделение внутреннего аудита подчиняется Совету директоров.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 Для проведения внутреннего аудита в Обществе создано отдельное структурное подразделение внутреннего аудита, функционально подотчетное Совету директоров или прив</w:t>
            </w:r>
            <w:r>
              <w:rPr>
                <w:rFonts w:ascii="Times New Roman" w:hAnsi="Times New Roman" w:cs="Times New Roman"/>
                <w:sz w:val="20"/>
              </w:rPr>
              <w:t>лечена независимая внешняя организация с тем же принципом подотчетности.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5.2.2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Подразделение внутреннего аудита проводит оценку эффективности системы внутреннего </w:t>
            </w:r>
            <w:r>
              <w:rPr>
                <w:rFonts w:ascii="Times New Roman" w:hAnsi="Times New Roman" w:cs="Times New Roman"/>
                <w:sz w:val="20"/>
              </w:rPr>
              <w:t>контроля, оценку эффективности системы управления рисками, а также системы корпоративного управления. Общество применяет общепринятые стандарты деятельности в области внутреннего аудита.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numPr>
                <w:ilvl w:val="0"/>
                <w:numId w:val="19"/>
              </w:numPr>
              <w:tabs>
                <w:tab w:val="left" w:pos="154"/>
                <w:tab w:val="left" w:pos="437"/>
              </w:tabs>
              <w:ind w:left="12" w:firstLine="1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отчетном периоде в рамках проведения внутреннего аудита дана оценка</w:t>
            </w:r>
            <w:r>
              <w:rPr>
                <w:rFonts w:ascii="Times New Roman" w:hAnsi="Times New Roman"/>
                <w:sz w:val="20"/>
              </w:rPr>
              <w:t xml:space="preserve"> надежности и эффективности системы управления рисками и внутреннего контроля.</w:t>
            </w:r>
          </w:p>
          <w:p w:rsidR="00D6448D" w:rsidRDefault="00D6448D">
            <w:pPr>
              <w:pStyle w:val="ConsPlusNormal"/>
              <w:ind w:left="720"/>
              <w:jc w:val="both"/>
              <w:rPr>
                <w:rFonts w:ascii="Times New Roman" w:hAnsi="Times New Roman"/>
                <w:sz w:val="20"/>
              </w:rPr>
            </w:pP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</w:t>
            </w:r>
            <w:r>
              <w:rPr>
                <w:rFonts w:ascii="Times New Roman" w:hAnsi="Times New Roman"/>
                <w:sz w:val="20"/>
              </w:rPr>
              <w:t>В отчетном периоде в рамках проведения внутреннего аудита дана оценка практики (отдельных практик) корпоративного управления, включая процедуры информационного взаимодействи</w:t>
            </w:r>
            <w:r>
              <w:rPr>
                <w:rFonts w:ascii="Times New Roman" w:hAnsi="Times New Roman"/>
                <w:sz w:val="20"/>
              </w:rPr>
              <w:t xml:space="preserve">я (в том числе по вопросам внутреннего контроля и управления рисками) на всех уровнях управления общества, а также взаимодействия с заинтересованными лицами.  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153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6.1</w:t>
            </w:r>
          </w:p>
        </w:tc>
        <w:tc>
          <w:tcPr>
            <w:tcW w:w="1418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Общество и его деятельность являются прозрачными для акционеров, инвесторов и иных заинтересованных лиц.</w:t>
            </w:r>
          </w:p>
        </w:tc>
        <w:tc>
          <w:tcPr>
            <w:tcW w:w="6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6.1.1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 Обществе разработана и внедрена информационная политика, обеспечивающая эффективное информационное взаимодействие Общества, акционеров, инвес</w:t>
            </w:r>
            <w:r>
              <w:rPr>
                <w:rFonts w:ascii="Times New Roman" w:hAnsi="Times New Roman" w:cs="Times New Roman"/>
                <w:sz w:val="20"/>
              </w:rPr>
              <w:t>торов и иных заинтересованных лиц.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numPr>
                <w:ilvl w:val="0"/>
                <w:numId w:val="20"/>
              </w:numPr>
              <w:ind w:left="12" w:hanging="12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Советом директоров Общества утверждена информационная политика Общества, разработанная с учетом рекомендаций Кодекса.</w:t>
            </w:r>
          </w:p>
          <w:p w:rsidR="00D6448D" w:rsidRDefault="00D6448D">
            <w:pPr>
              <w:pStyle w:val="ConsPlusNormal"/>
              <w:ind w:left="720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</w:t>
            </w:r>
            <w:r>
              <w:rPr>
                <w:rFonts w:ascii="Times New Roman" w:hAnsi="Times New Roman"/>
                <w:sz w:val="20"/>
              </w:rPr>
              <w:t>В течение отчетного периода Совет директоров (или один из его комитетов) рассмотрел вопрос об эффек</w:t>
            </w:r>
            <w:r>
              <w:rPr>
                <w:rFonts w:ascii="Times New Roman" w:hAnsi="Times New Roman"/>
                <w:sz w:val="20"/>
              </w:rPr>
              <w:t>тивности информационного взаимодействия Общества, акционеров, инвесторов и иных заинтересованных лиц, и целесообразности (необходимости) пересмотра информационной политики общества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не </w:t>
            </w: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6.1.2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Общество раскрывает информацию о системе и практике корпоративного управления, включая подробную информацию о соблюдении принципов и рекомендаций Кодекса.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numPr>
                <w:ilvl w:val="0"/>
                <w:numId w:val="21"/>
              </w:numPr>
              <w:tabs>
                <w:tab w:val="left" w:pos="296"/>
              </w:tabs>
              <w:ind w:left="12" w:firstLine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Общество раскрывает информацию о системе корпоративного управления в </w:t>
            </w:r>
            <w:r>
              <w:rPr>
                <w:rFonts w:ascii="Times New Roman" w:hAnsi="Times New Roman" w:cs="Times New Roman"/>
                <w:sz w:val="20"/>
              </w:rPr>
              <w:t>Обществе и общих принципах корпоративного управления, применяемых в Обществе, в том числе на сайте Общества в сети Интернет.</w:t>
            </w:r>
          </w:p>
          <w:p w:rsidR="00D6448D" w:rsidRDefault="00D6448D">
            <w:pPr>
              <w:pStyle w:val="ConsPlusNormal"/>
              <w:ind w:left="720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numPr>
                <w:ilvl w:val="0"/>
                <w:numId w:val="21"/>
              </w:numPr>
              <w:tabs>
                <w:tab w:val="left" w:pos="296"/>
              </w:tabs>
              <w:ind w:left="12" w:firstLine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Общество раскрывает информацию о составе исполнительных органов и Совета директоров, независимости членов Совета и их членстве в к</w:t>
            </w:r>
            <w:r>
              <w:rPr>
                <w:rFonts w:ascii="Times New Roman" w:hAnsi="Times New Roman" w:cs="Times New Roman"/>
                <w:sz w:val="20"/>
              </w:rPr>
              <w:t xml:space="preserve">омитетах Совета директоров (в соответствии с определением </w:t>
            </w:r>
            <w:hyperlink r:id="rId20" w:tooltip="consultantplus://offline/ref=1BC1BBB9FFF42E04B1254D36D8880CD2A8A4B66A853B48F68AE128C2E9AA6BCF211816B8FF5BBB42p5xDH" w:history="1">
              <w:r>
                <w:rPr>
                  <w:rFonts w:ascii="Times New Roman" w:hAnsi="Times New Roman" w:cs="Times New Roman"/>
                  <w:sz w:val="20"/>
                </w:rPr>
                <w:t>Кодекса</w:t>
              </w:r>
            </w:hyperlink>
            <w:r>
              <w:rPr>
                <w:rFonts w:ascii="Times New Roman" w:hAnsi="Times New Roman" w:cs="Times New Roman"/>
                <w:sz w:val="20"/>
              </w:rPr>
              <w:t>).</w:t>
            </w:r>
          </w:p>
          <w:p w:rsidR="00D6448D" w:rsidRDefault="00D6448D">
            <w:pPr>
              <w:pStyle w:val="ConsPlusNormal"/>
              <w:ind w:left="720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 В случае наличия лица, контролирующего Общество, Общество публикует меморандум контролирующего лица относительно планов такого лица в отношении корпоративного управления в Обществе.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64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15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6.2</w:t>
            </w:r>
          </w:p>
        </w:tc>
        <w:tc>
          <w:tcPr>
            <w:tcW w:w="2069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Общество своевременно раскрывает полную, актуальную и достоверную информацию об Обществе для обеспечения возможности принятия обоснованных решений акционерами Общества и инвесторами.</w:t>
            </w: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6.2.1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Общество раскрывает информацию в </w:t>
            </w:r>
            <w:r>
              <w:rPr>
                <w:rFonts w:ascii="Times New Roman" w:hAnsi="Times New Roman" w:cs="Times New Roman"/>
                <w:sz w:val="20"/>
              </w:rPr>
              <w:t>соответствии с принципами регулярности, последовательности и оперативности, а также доступности, достоверности, полноты и сравнимости раскрываемых данных.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numPr>
                <w:ilvl w:val="0"/>
                <w:numId w:val="22"/>
              </w:numPr>
              <w:tabs>
                <w:tab w:val="left" w:pos="225"/>
              </w:tabs>
              <w:ind w:left="0" w:firstLine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обществе определена процедура, обеспечивающая координацию работы всех структурных подразделений и р</w:t>
            </w:r>
            <w:r>
              <w:rPr>
                <w:rFonts w:ascii="Times New Roman" w:hAnsi="Times New Roman"/>
                <w:sz w:val="20"/>
              </w:rPr>
              <w:t>аботников общества, связанных с раскрытием информации или деятельность которых может привести к необходимости раскрытия информации.</w:t>
            </w:r>
          </w:p>
          <w:p w:rsidR="00D6448D" w:rsidRDefault="00D6448D">
            <w:pPr>
              <w:pStyle w:val="ConsPlusNormal"/>
              <w:ind w:left="720"/>
              <w:jc w:val="both"/>
              <w:rPr>
                <w:rFonts w:ascii="Times New Roman" w:hAnsi="Times New Roman"/>
                <w:sz w:val="20"/>
              </w:rPr>
            </w:pPr>
          </w:p>
          <w:p w:rsidR="00D6448D" w:rsidRDefault="00231CB6">
            <w:pPr>
              <w:pStyle w:val="afc"/>
              <w:numPr>
                <w:ilvl w:val="0"/>
                <w:numId w:val="22"/>
              </w:numPr>
              <w:tabs>
                <w:tab w:val="left" w:pos="225"/>
              </w:tabs>
              <w:ind w:left="12" w:firstLine="0"/>
              <w:jc w:val="both"/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В случае если ценные бумаги общества обращаются на иностранных организованных рынках, раскрытие существенной информации в </w:t>
            </w:r>
            <w:r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Российской Федерации и на таких рынках осуществляется синхронно и эквивалентно в течение отчетного года</w:t>
            </w:r>
            <w:r>
              <w:rPr>
                <w:rStyle w:val="aff"/>
                <w:rFonts w:ascii="Times New Roman" w:eastAsiaTheme="minorHAnsi" w:hAnsi="Times New Roman"/>
                <w:sz w:val="20"/>
                <w:szCs w:val="20"/>
                <w:lang w:val="ru-RU"/>
              </w:rPr>
              <w:footnoteReference w:id="1"/>
            </w:r>
            <w:r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.</w:t>
            </w:r>
          </w:p>
          <w:p w:rsidR="00D6448D" w:rsidRDefault="00D6448D">
            <w:pPr>
              <w:pStyle w:val="afc"/>
              <w:jc w:val="both"/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</w:pP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3. Если иностранные акционеры владеют существенным количеством акций Общества, то в течение отчетного года раскрытие информации осуществлялось не </w:t>
            </w:r>
            <w:r>
              <w:rPr>
                <w:rFonts w:ascii="Times New Roman" w:hAnsi="Times New Roman" w:cs="Times New Roman"/>
                <w:sz w:val="20"/>
              </w:rPr>
              <w:t>только на русском языке, но также и на одном из наиболее распространенных иностранных языков.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lang w:val="ru-RU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146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724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6.2.2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Общество избегает формального подхода при раскрытии информации и </w:t>
            </w:r>
            <w:r>
              <w:rPr>
                <w:rFonts w:ascii="Times New Roman" w:hAnsi="Times New Roman" w:cs="Times New Roman"/>
                <w:sz w:val="20"/>
              </w:rPr>
              <w:t>раскрывает существенную информацию о своей деятельности, даже если раскрытие такой информации не предусмотрено законодательством.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</w:t>
            </w:r>
            <w:r>
              <w:rPr>
                <w:rFonts w:ascii="Times New Roman" w:hAnsi="Times New Roman"/>
                <w:sz w:val="20"/>
              </w:rPr>
              <w:t>В информационной политике Общества определены подходы к раскрытию сведений об иных событиях (действиях), оказывающих сущест</w:t>
            </w:r>
            <w:r>
              <w:rPr>
                <w:rFonts w:ascii="Times New Roman" w:hAnsi="Times New Roman"/>
                <w:sz w:val="20"/>
              </w:rPr>
              <w:t>венное влияние на стоимость или котировки его ценных бумаг, раскрытие сведений о которых не предусмотрено законодательством.</w:t>
            </w:r>
          </w:p>
          <w:p w:rsidR="00D6448D" w:rsidRDefault="00231CB6">
            <w:pPr>
              <w:pStyle w:val="ConsPlusNormal"/>
              <w:ind w:left="12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 Общество раскрывает информацию о структуре капитала общества в соответствии с рекомендацией 290 Кодекса в годовом отчете и на </w:t>
            </w:r>
            <w:r>
              <w:rPr>
                <w:rFonts w:ascii="Times New Roman" w:hAnsi="Times New Roman" w:cs="Times New Roman"/>
                <w:sz w:val="20"/>
              </w:rPr>
              <w:t>сайте общества в сети Интернет.</w:t>
            </w:r>
          </w:p>
          <w:p w:rsidR="00D6448D" w:rsidRDefault="00D6448D">
            <w:pPr>
              <w:pStyle w:val="ConsPlusNormal"/>
              <w:ind w:left="360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numPr>
                <w:ilvl w:val="0"/>
                <w:numId w:val="22"/>
              </w:numPr>
              <w:tabs>
                <w:tab w:val="left" w:pos="225"/>
              </w:tabs>
              <w:ind w:left="12" w:hanging="12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Общество раскрывает информацию о подконтрольных организациях, имеющих для него существенное значение, в том числе о ключевых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направлениях их деятельности, о механизмах, обеспечивающих подотчетность подконтрольных организаци</w:t>
            </w:r>
            <w:r>
              <w:rPr>
                <w:rFonts w:ascii="Times New Roman" w:hAnsi="Times New Roman" w:cs="Times New Roman"/>
                <w:sz w:val="20"/>
              </w:rPr>
              <w:t>й, полномочиях совета директоров общества в отношении определения стратегии и оценки результатов деятельности подконтрольных организаций.</w:t>
            </w:r>
          </w:p>
          <w:p w:rsidR="00D6448D" w:rsidRDefault="00D6448D">
            <w:pPr>
              <w:pStyle w:val="ConsPlusNormal"/>
              <w:ind w:left="12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afc"/>
              <w:numPr>
                <w:ilvl w:val="0"/>
                <w:numId w:val="22"/>
              </w:numPr>
              <w:tabs>
                <w:tab w:val="left" w:pos="225"/>
              </w:tabs>
              <w:ind w:left="12" w:hanging="12"/>
              <w:jc w:val="both"/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Общество раскрывает нефинансовый отчет - отчет об устойчивом развитии, экологический отчет, отчет о корпоративной соц</w:t>
            </w:r>
            <w:r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иальной ответственности или иной отчет, содержащий нефинансовую информацию, в том числе о факторах, связанных с окружающей средой (в том числе экологические факторы и факторы, связанные с изменением климата), обществом (социальные факторы) и корпоративным </w:t>
            </w:r>
            <w:r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управлением, за исключением отчета эмитента эмиссионных ценных бумаг и годового отчета акционерного общества.</w:t>
            </w:r>
          </w:p>
          <w:p w:rsidR="00D6448D" w:rsidRDefault="00D6448D">
            <w:pPr>
              <w:pStyle w:val="ConsPlusNormal"/>
              <w:ind w:left="7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ind w:left="720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ind w:left="720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46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ind w:left="720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87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ind w:left="720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ind w:left="7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6.2.3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Годовой отчет, являясь одним из наиболее важных </w:t>
            </w:r>
            <w:r>
              <w:rPr>
                <w:rFonts w:ascii="Times New Roman" w:hAnsi="Times New Roman" w:cs="Times New Roman"/>
                <w:sz w:val="20"/>
              </w:rPr>
              <w:t>инструментов информационного взаимодействия с акционерами и другими заинтересованными сторонами, содержит информацию, позволяющую оценить итоги деятельности Общества за год.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/>
                <w:sz w:val="20"/>
              </w:rPr>
              <w:t xml:space="preserve"> Годовой отчет Общества содержит информацию о результатах оценки комитетом по ауд</w:t>
            </w:r>
            <w:r>
              <w:rPr>
                <w:rFonts w:ascii="Times New Roman" w:hAnsi="Times New Roman"/>
                <w:sz w:val="20"/>
              </w:rPr>
              <w:t>иту эффективности процесса проведения внешнего и внутреннего аудита.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</w:t>
            </w:r>
            <w:r>
              <w:rPr>
                <w:rFonts w:ascii="Times New Roman" w:hAnsi="Times New Roman"/>
                <w:sz w:val="20"/>
              </w:rPr>
              <w:t>Годовой отчет Общества содержит сведения о политике общества в области охраны окружающей среды, социальной политике Общества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1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53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17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6.3</w:t>
            </w:r>
          </w:p>
        </w:tc>
        <w:tc>
          <w:tcPr>
            <w:tcW w:w="2069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Общество предоставляет информацию и документы по запросам акционеров в соответствии с принципами равнодоступности и необременительности.</w:t>
            </w:r>
          </w:p>
        </w:tc>
      </w:tr>
      <w:tr w:rsidR="00D6448D" w:rsidRPr="00231CB6">
        <w:trPr>
          <w:trHeight w:val="20"/>
        </w:trPr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6.3.1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Предоставление Обществом информации и документов по запросам акционеров </w:t>
            </w:r>
            <w:r>
              <w:rPr>
                <w:rFonts w:ascii="Times New Roman" w:hAnsi="Times New Roman" w:cs="Times New Roman"/>
                <w:sz w:val="20"/>
              </w:rPr>
              <w:t>осуществляется в соответствии с принципами равнодоступности и необременительности.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numPr>
                <w:ilvl w:val="0"/>
                <w:numId w:val="23"/>
              </w:numPr>
              <w:ind w:left="12" w:hanging="12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информационной политике (внутренних документах, определяющих информационную политику) Общества определен необременительный порядок предоставления по запросам акционеров до</w:t>
            </w:r>
            <w:r>
              <w:rPr>
                <w:rFonts w:ascii="Times New Roman" w:hAnsi="Times New Roman"/>
                <w:sz w:val="20"/>
              </w:rPr>
              <w:t>ступа к информации и документам Общества.</w:t>
            </w:r>
          </w:p>
          <w:p w:rsidR="00D6448D" w:rsidRDefault="00D6448D">
            <w:pPr>
              <w:pStyle w:val="ConsPlusNormal"/>
              <w:ind w:left="12"/>
              <w:jc w:val="both"/>
              <w:rPr>
                <w:rFonts w:ascii="Times New Roman" w:hAnsi="Times New Roman"/>
                <w:sz w:val="20"/>
              </w:rPr>
            </w:pP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 В информационной политике (внутренних документах, определяющих информационную политику) содержатся положения, предусматривающие, что в случае поступления запроса акционера о предоставлении информации о подконтр</w:t>
            </w:r>
            <w:r>
              <w:rPr>
                <w:rFonts w:ascii="Times New Roman" w:hAnsi="Times New Roman"/>
                <w:sz w:val="20"/>
              </w:rPr>
              <w:t xml:space="preserve">ольных Обществу организациях Общество предпринимает необходимые усилия для получения такой информации у соответствующих подконтрольных обществу организаций.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widowControl w:val="0"/>
              <w:jc w:val="both"/>
              <w:rPr>
                <w:rStyle w:val="ae"/>
                <w:rFonts w:ascii="Times New Roman" w:eastAsiaTheme="minorHAnsi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674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6.3.2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При предоставлении Обществом информации акционерам обеспечивается разумный баланс между интересами конкретных акционеров и интересами самого Общества, заинтересованного в сохранении конфиденциальности важной коммерческой информации, которая может оказать с</w:t>
            </w:r>
            <w:r>
              <w:rPr>
                <w:rFonts w:ascii="Times New Roman" w:hAnsi="Times New Roman" w:cs="Times New Roman"/>
                <w:sz w:val="20"/>
              </w:rPr>
              <w:t>ущественное влияние на его конкурентоспособность.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 В течение отчетного периода Общество не отказывало в удовлетворении запросов акционеров о предоставлении информации, либо такие отказы были обоснованными.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В случаях, определенных информационной </w:t>
            </w:r>
            <w:r>
              <w:rPr>
                <w:rFonts w:ascii="Times New Roman" w:hAnsi="Times New Roman" w:cs="Times New Roman"/>
                <w:sz w:val="20"/>
              </w:rPr>
              <w:t>политикой Общества, акционеры предупреждаются о конфиденциальном характере информации и принимают на себя обязанность по сохранению ее конфиденциальности.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337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rPr>
          <w:gridAfter w:val="7"/>
          <w:wAfter w:w="20696" w:type="dxa"/>
          <w:trHeight w:val="321"/>
        </w:trPr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7.1</w:t>
            </w: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7.1.1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Существенными корпоративными действиями признаются: реорганизация Общества, приобретение 30 и более процентов голосующих акций Общества (поглощение), совершение Обществом существенных сделок, увеличение или уменьшение уставного капитала Общества, осуществ</w:t>
            </w:r>
            <w:r>
              <w:rPr>
                <w:rFonts w:ascii="Times New Roman" w:hAnsi="Times New Roman" w:cs="Times New Roman"/>
                <w:sz w:val="20"/>
              </w:rPr>
              <w:t>ление листинга и делистинга акций Общества, а также иные действия, которые могут привести к существенному изменению прав акционеров или нарушению их интересов. Уставом Общества определен перечень (критерии) сделок или иных действий, являющихся существенным</w:t>
            </w:r>
            <w:r>
              <w:rPr>
                <w:rFonts w:ascii="Times New Roman" w:hAnsi="Times New Roman" w:cs="Times New Roman"/>
                <w:sz w:val="20"/>
              </w:rPr>
              <w:t>и корпоративными действиями, и такие действия отнесены к компетенции Совета директоров Общества.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</w:t>
            </w:r>
            <w:r>
              <w:rPr>
                <w:rFonts w:ascii="Times New Roman" w:hAnsi="Times New Roman"/>
                <w:sz w:val="20"/>
              </w:rPr>
              <w:t>Уставом Общества определен перечень (критерии) сделок или иных действий, являющихся существенными корпоративными действиями. Принятие решений в отношении су</w:t>
            </w:r>
            <w:r>
              <w:rPr>
                <w:rFonts w:ascii="Times New Roman" w:hAnsi="Times New Roman"/>
                <w:sz w:val="20"/>
              </w:rPr>
              <w:t>щественных корпоративных действий Уставом Общества отнесено к компетенции Совета директоров. В тех случаях, когда осуществление данных корпоративных действий прямо отнесено законодательством к компетенции Общего собрания акционеров, Совет директоров предос</w:t>
            </w:r>
            <w:r>
              <w:rPr>
                <w:rFonts w:ascii="Times New Roman" w:hAnsi="Times New Roman"/>
                <w:sz w:val="20"/>
              </w:rPr>
              <w:t>тавляет акционерам соответствующие рекомендации.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1.Частично соблюдается.</w:t>
            </w: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Уставом Общества не определено само понятие существенных корпоративных действий. </w:t>
            </w: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соответствии с ККУ существенными корпоративными действиями следует признавать реорганизацию общест</w:t>
            </w:r>
            <w:r>
              <w:rPr>
                <w:rFonts w:ascii="Times New Roman" w:hAnsi="Times New Roman"/>
                <w:sz w:val="20"/>
              </w:rPr>
              <w:t>ва, приобретение 30 и более процентов голосующих акций общества (поглощение), совершение обществом существенных сделок, увеличение или уменьшение уставного капитала общества, осуществление листинга и делистинга акций общества, а также иные действия, которы</w:t>
            </w:r>
            <w:r>
              <w:rPr>
                <w:rFonts w:ascii="Times New Roman" w:hAnsi="Times New Roman"/>
                <w:sz w:val="20"/>
              </w:rPr>
              <w:t xml:space="preserve">е могут привести к существенному изменению прав акционеров или нарушению их интересов. </w:t>
            </w: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Вместе с тем принятие решений по вопросам, относящимся к существенным действиям, указанным в рекомендациях 303 ККУ (реорганизация Общества, увеличение/уменьшение уставн</w:t>
            </w:r>
            <w:r>
              <w:rPr>
                <w:rFonts w:ascii="Times New Roman" w:hAnsi="Times New Roman"/>
                <w:sz w:val="20"/>
              </w:rPr>
              <w:t>ого капитала Общества, принятие решения об обращении с заявлением о делистинге акций общества и (или) эмиссионных ценных бумаг Общества, конвертируемых в его акции,</w:t>
            </w: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обращение с заявлением о листинге акций Общества и (или эмиссионных ценных бумаг Общества, </w:t>
            </w: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конвертируемых в акции Общества, принятие решений о согласии на совершение или о последующем одобрении крупных сделок, одобрение иных существенных сделок) в соответствии с законодательством Российской Федерации и Уставом Общества отнесено к компетенции Общ</w:t>
            </w: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его собрания акционеров или Совета директоров. При вынесении на рассмотрение Общего собрания акционеров Общества любых вопросов, в т.ч. по существенным корпоративным действиям, Совет директоров Общества предоставляет акционерам Общества соответствующие рек</w:t>
            </w:r>
            <w:r>
              <w:rPr>
                <w:rFonts w:ascii="Times New Roman" w:eastAsia="Calibri" w:hAnsi="Times New Roman" w:cs="Times New Roman"/>
                <w:sz w:val="20"/>
                <w:lang w:eastAsia="en-US"/>
              </w:rPr>
              <w:t>омендации.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85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7.1.2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Совет директоров играет ключевую роль в принятии решений или выработке рекомендаций в отношении существенных корпоративных действий, Совет директоров</w:t>
            </w:r>
            <w:r>
              <w:rPr>
                <w:rFonts w:ascii="Times New Roman" w:hAnsi="Times New Roman" w:cs="Times New Roman"/>
                <w:sz w:val="20"/>
              </w:rPr>
              <w:t xml:space="preserve"> опирается на позицию независимых директоров Общества.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 В Обществе предусмотрена процедура, в соответствии с которой независимые директора заявляют о своей позиции по существенным корпоративным действиям до их одобрения.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14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rPr>
          <w:trHeight w:val="139"/>
        </w:trPr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7.1.3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При совершении существенных корпоративных действий, затрагивающих права и законные интересы акционеров, обеспечиваются равные условия для всех акционеров Общества, а при недостаточности предусмотренных законодательством механизмов, направленных на защиту п</w:t>
            </w:r>
            <w:r>
              <w:rPr>
                <w:rFonts w:ascii="Times New Roman" w:hAnsi="Times New Roman" w:cs="Times New Roman"/>
                <w:sz w:val="20"/>
              </w:rPr>
              <w:t xml:space="preserve">рав акционеров, - дополнительные меры, защищающие права и законные интересы акционеров Общества. При этом, Общество руководствуется не только соблюдением формальных требований законодательства, но и принципами корпоративного управления, изложенными в </w:t>
            </w:r>
            <w:hyperlink r:id="rId21" w:tooltip="consultantplus://offline/ref=1BC1BBB9FFF42E04B1254D36D8880CD2A8A4B66A853B48F68AE128C2E9AA6BCF211816B8FF5BBB42p5xDH" w:history="1">
              <w:r>
                <w:rPr>
                  <w:rFonts w:ascii="Times New Roman" w:hAnsi="Times New Roman" w:cs="Times New Roman"/>
                  <w:sz w:val="20"/>
                </w:rPr>
                <w:t>Кодексе</w:t>
              </w:r>
            </w:hyperlink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numPr>
                <w:ilvl w:val="0"/>
                <w:numId w:val="24"/>
              </w:numPr>
              <w:tabs>
                <w:tab w:val="left" w:pos="225"/>
              </w:tabs>
              <w:ind w:left="12" w:firstLine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Уставом Общества с учетом особенностей его деятельности к компетенции Совета директоров отнесено одобрение, помимо предусмотренных законодательством, иных сделок, имеющих существенное значение для Общества.</w:t>
            </w:r>
          </w:p>
          <w:p w:rsidR="00D6448D" w:rsidRDefault="00D6448D">
            <w:pPr>
              <w:pStyle w:val="ConsPlusNormal"/>
              <w:ind w:left="360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 В течение отчетного периода, все существенные</w:t>
            </w:r>
            <w:r>
              <w:rPr>
                <w:rFonts w:ascii="Times New Roman" w:hAnsi="Times New Roman" w:cs="Times New Roman"/>
                <w:sz w:val="20"/>
              </w:rPr>
              <w:t xml:space="preserve"> корпоративные действия проходили процедуру одобрения до их осуществления.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491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 w:rsidRPr="00231CB6"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7.2</w:t>
            </w:r>
          </w:p>
        </w:tc>
        <w:tc>
          <w:tcPr>
            <w:tcW w:w="2069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Общество обеспечивает такой порядок совершения существенных корпоративных действий, </w:t>
            </w:r>
            <w:r>
              <w:rPr>
                <w:rFonts w:ascii="Times New Roman" w:hAnsi="Times New Roman" w:cs="Times New Roman"/>
                <w:b/>
                <w:sz w:val="20"/>
              </w:rPr>
              <w:t>который позволяет акционерам своевременно получать полную информацию о таких действиях, обеспечивает им возможность влиять на совершение таких действий и гарантирует соблюдение и адекватный уровень защиты их прав при совершении таких действий.</w:t>
            </w:r>
          </w:p>
        </w:tc>
      </w:tr>
      <w:tr w:rsidR="00D6448D" w:rsidRPr="00231CB6"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7.2.1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Информация о совершении существенных корпоративных действий раскрывается с объяснением причин, условий и последствий совершения таких действий.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</w:t>
            </w:r>
            <w:r>
              <w:rPr>
                <w:rFonts w:ascii="Times New Roman" w:hAnsi="Times New Roman"/>
                <w:sz w:val="20"/>
              </w:rPr>
              <w:t>В случае, если Обществом в течение отчетного периода совершались существенные корпоративные действия, обществ</w:t>
            </w:r>
            <w:r>
              <w:rPr>
                <w:rFonts w:ascii="Times New Roman" w:hAnsi="Times New Roman"/>
                <w:sz w:val="20"/>
              </w:rPr>
              <w:t xml:space="preserve">о своевременно и детально раскрывало информацию о таких действиях, в том числе о причинах, условиях совершения действий и последствиях таких действий </w:t>
            </w:r>
            <w:r>
              <w:rPr>
                <w:rFonts w:ascii="Times New Roman" w:hAnsi="Times New Roman"/>
                <w:sz w:val="20"/>
              </w:rPr>
              <w:lastRenderedPageBreak/>
              <w:t>для акционеров.</w:t>
            </w:r>
          </w:p>
          <w:p w:rsidR="00D6448D" w:rsidRDefault="00D6448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4"/>
                <w:lang w:eastAsia="en-US"/>
              </w:rPr>
              <w:t>Оценка соответствия критерию в настоящем пункте не может быть дана, так как в отчетном п</w:t>
            </w:r>
            <w:r>
              <w:rPr>
                <w:rFonts w:ascii="Times New Roman" w:eastAsia="MS Mincho" w:hAnsi="Times New Roman" w:cs="Times New Roman"/>
                <w:sz w:val="20"/>
                <w:szCs w:val="24"/>
                <w:lang w:eastAsia="en-US"/>
              </w:rPr>
              <w:t>ериоде Обществом не совершались существенные корпоративные действия.</w:t>
            </w: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32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rPr>
          <w:trHeight w:val="20"/>
        </w:trPr>
        <w:tc>
          <w:tcPr>
            <w:tcW w:w="78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7.2.2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Правила и процедуры, связанные с осуществлением Обществом существенных корпоративных </w:t>
            </w:r>
            <w:r>
              <w:rPr>
                <w:rFonts w:ascii="Times New Roman" w:hAnsi="Times New Roman" w:cs="Times New Roman"/>
                <w:sz w:val="20"/>
              </w:rPr>
              <w:t>действий, закреплены во внутренних документах Общества.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numPr>
                <w:ilvl w:val="0"/>
                <w:numId w:val="25"/>
              </w:numPr>
              <w:tabs>
                <w:tab w:val="left" w:pos="226"/>
              </w:tabs>
              <w:ind w:left="0" w:firstLine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Во внутренних документах Общества определены случаи и порядок привлечения оценщика для определения стоимости имущества, отчуждаемого или приобретаемого по крупной сделке или сделке с </w:t>
            </w:r>
            <w:r>
              <w:rPr>
                <w:rFonts w:ascii="Times New Roman" w:hAnsi="Times New Roman"/>
                <w:sz w:val="20"/>
              </w:rPr>
              <w:t>заинтересованностью.</w:t>
            </w:r>
          </w:p>
          <w:p w:rsidR="00D6448D" w:rsidRDefault="00D6448D">
            <w:pPr>
              <w:pStyle w:val="ConsPlusNormal"/>
              <w:ind w:left="720"/>
              <w:jc w:val="both"/>
              <w:rPr>
                <w:rFonts w:ascii="Times New Roman" w:hAnsi="Times New Roman"/>
                <w:sz w:val="20"/>
              </w:rPr>
            </w:pPr>
          </w:p>
          <w:p w:rsidR="00D6448D" w:rsidRDefault="00231CB6">
            <w:pPr>
              <w:pStyle w:val="ConsPlusNormal"/>
              <w:numPr>
                <w:ilvl w:val="0"/>
                <w:numId w:val="25"/>
              </w:numPr>
              <w:tabs>
                <w:tab w:val="left" w:pos="226"/>
              </w:tabs>
              <w:ind w:left="12" w:firstLine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Внутренние документы Общества предусматривают процедуру привлечения независимого оценщика для оценки стоимости приобретения и выкупа акций Общества.</w:t>
            </w:r>
          </w:p>
          <w:p w:rsidR="00D6448D" w:rsidRDefault="00D6448D">
            <w:pPr>
              <w:pStyle w:val="afc"/>
              <w:rPr>
                <w:rFonts w:ascii="Times New Roman" w:hAnsi="Times New Roman"/>
                <w:sz w:val="20"/>
                <w:lang w:val="ru-RU"/>
              </w:rPr>
            </w:pPr>
          </w:p>
          <w:p w:rsidR="00D6448D" w:rsidRDefault="00231CB6">
            <w:pPr>
              <w:pStyle w:val="af6"/>
              <w:spacing w:before="0" w:beforeAutospacing="0" w:after="0" w:afterAutospacing="0" w:line="288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3. </w:t>
            </w:r>
            <w:r>
              <w:rPr>
                <w:sz w:val="20"/>
                <w:szCs w:val="20"/>
              </w:rPr>
              <w:t>При отсутствии формальной заинтересованности члена совета директоров, единоличног</w:t>
            </w:r>
            <w:r>
              <w:rPr>
                <w:sz w:val="20"/>
                <w:szCs w:val="20"/>
              </w:rPr>
              <w:t>о исполнительного органа, члена коллегиального исполнительного органа общества или лица, являющегося контролирующим лицом общества, либо лица, имеющего право давать обществу обязательные для него указания, в сделках общества, но при наличии конфликта интер</w:t>
            </w:r>
            <w:r>
              <w:rPr>
                <w:sz w:val="20"/>
                <w:szCs w:val="20"/>
              </w:rPr>
              <w:t>есов или иной их фактической заинтересованности, внутренними документами общества предусмотрено, что такие лица не принимают участия в голосовании по вопросу одобрения такой сделки.</w:t>
            </w:r>
          </w:p>
          <w:p w:rsidR="00D6448D" w:rsidRDefault="00231CB6">
            <w:pPr>
              <w:pStyle w:val="ConsPlusNormal"/>
              <w:tabs>
                <w:tab w:val="left" w:pos="226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652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rPr>
          <w:trHeight w:val="205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Wingdings" w:eastAsia="Wingdings" w:hAnsi="Wingdings" w:cs="Wingdings"/>
                <w:sz w:val="20"/>
                <w:lang w:val="en-US"/>
              </w:rPr>
              <w:t></w:t>
            </w: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частично 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378" w:type="dxa"/>
            <w:vMerge/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48" w:type="dxa"/>
            <w:tcBorders>
              <w:top w:val="none" w:sz="4" w:space="0" w:color="000000"/>
              <w:bottom w:val="none" w:sz="4" w:space="0" w:color="000000"/>
            </w:tcBorders>
            <w:shd w:val="clear" w:color="auto" w:fill="auto"/>
          </w:tcPr>
          <w:p w:rsidR="00D6448D" w:rsidRDefault="00231CB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не </w:t>
            </w:r>
            <w:r>
              <w:rPr>
                <w:rFonts w:ascii="Times New Roman" w:hAnsi="Times New Roman" w:cs="Times New Roman"/>
                <w:sz w:val="20"/>
              </w:rPr>
              <w:t>соблюдается</w:t>
            </w:r>
          </w:p>
        </w:tc>
        <w:tc>
          <w:tcPr>
            <w:tcW w:w="6520" w:type="dxa"/>
            <w:gridSpan w:val="2"/>
            <w:vMerge/>
            <w:shd w:val="clear" w:color="auto" w:fill="auto"/>
          </w:tcPr>
          <w:p w:rsidR="00D6448D" w:rsidRDefault="00D6448D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D6448D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78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119" w:type="dxa"/>
            <w:gridSpan w:val="3"/>
            <w:tcBorders>
              <w:top w:val="none" w:sz="4" w:space="0" w:color="000000"/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5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6448D" w:rsidRDefault="00D6448D">
            <w:pPr>
              <w:pStyle w:val="ConsPlusNormal"/>
              <w:ind w:right="1357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6448D" w:rsidRDefault="00D6448D">
      <w:pPr>
        <w:rPr>
          <w:rFonts w:ascii="Times New Roman" w:hAnsi="Times New Roman"/>
          <w:b/>
          <w:sz w:val="22"/>
          <w:szCs w:val="20"/>
          <w:lang w:val="ru-RU"/>
        </w:rPr>
      </w:pPr>
    </w:p>
    <w:sectPr w:rsidR="00D6448D">
      <w:headerReference w:type="default" r:id="rId22"/>
      <w:footerReference w:type="default" r:id="rId23"/>
      <w:footerReference w:type="first" r:id="rId24"/>
      <w:pgSz w:w="23811" w:h="16838" w:orient="landscape"/>
      <w:pgMar w:top="567" w:right="1134" w:bottom="709" w:left="1134" w:header="284" w:footer="708" w:gutter="0"/>
      <w:pgNumType w:start="355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6859087" w16cex:dateUtc="2026-04-17T13:05:04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2685908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48D" w:rsidRDefault="00231CB6">
      <w:r>
        <w:separator/>
      </w:r>
    </w:p>
  </w:endnote>
  <w:endnote w:type="continuationSeparator" w:id="0">
    <w:p w:rsidR="00D6448D" w:rsidRDefault="00231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8580236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D6448D" w:rsidRDefault="00231CB6">
        <w:pPr>
          <w:pStyle w:val="af9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PAGE   \* MERGEFORMAT</w:instrText>
        </w:r>
        <w:r>
          <w:rPr>
            <w:rFonts w:ascii="Times New Roman" w:hAnsi="Times New Roman"/>
          </w:rPr>
          <w:fldChar w:fldCharType="separate"/>
        </w:r>
        <w:r w:rsidRPr="00231CB6">
          <w:rPr>
            <w:rFonts w:ascii="Times New Roman" w:hAnsi="Times New Roman"/>
            <w:noProof/>
            <w:lang w:val="ru-RU"/>
          </w:rPr>
          <w:t>375</w:t>
        </w:r>
        <w:r>
          <w:rPr>
            <w:rFonts w:ascii="Times New Roman" w:hAnsi="Times New Roman"/>
          </w:rPr>
          <w:fldChar w:fldCharType="end"/>
        </w:r>
      </w:p>
    </w:sdtContent>
  </w:sdt>
  <w:p w:rsidR="00D6448D" w:rsidRDefault="00D6448D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8593442"/>
      <w:docPartObj>
        <w:docPartGallery w:val="Page Numbers (Bottom of Page)"/>
        <w:docPartUnique/>
      </w:docPartObj>
    </w:sdtPr>
    <w:sdtEndPr/>
    <w:sdtContent>
      <w:p w:rsidR="00D6448D" w:rsidRDefault="00231CB6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345</w:t>
        </w:r>
        <w:r>
          <w:fldChar w:fldCharType="end"/>
        </w:r>
      </w:p>
    </w:sdtContent>
  </w:sdt>
  <w:p w:rsidR="00D6448D" w:rsidRDefault="00D6448D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48D" w:rsidRDefault="00231CB6">
      <w:r>
        <w:separator/>
      </w:r>
    </w:p>
  </w:footnote>
  <w:footnote w:type="continuationSeparator" w:id="0">
    <w:p w:rsidR="00D6448D" w:rsidRDefault="00231CB6">
      <w:r>
        <w:continuationSeparator/>
      </w:r>
    </w:p>
  </w:footnote>
  <w:footnote w:id="1">
    <w:p w:rsidR="00D6448D" w:rsidRDefault="00231CB6">
      <w:pPr>
        <w:pStyle w:val="afd"/>
      </w:pPr>
      <w:r>
        <w:rPr>
          <w:rStyle w:val="aff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Оценка соответствия критерию в настоящем пункте не может быть дана, так как ц</w:t>
      </w:r>
      <w:r>
        <w:rPr>
          <w:rFonts w:ascii="Times New Roman" w:eastAsiaTheme="minorHAnsi" w:hAnsi="Times New Roman"/>
        </w:rPr>
        <w:t>енные бумаги ПАО «</w:t>
      </w:r>
      <w:r>
        <w:rPr>
          <w:rFonts w:ascii="Times New Roman" w:eastAsiaTheme="minorHAnsi" w:hAnsi="Times New Roman"/>
        </w:rPr>
        <w:t>Россети Волга» не обращаются на иностранных организованных рынках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48D" w:rsidRDefault="00D6448D">
    <w:pPr>
      <w:pStyle w:val="af7"/>
      <w:jc w:val="right"/>
    </w:pPr>
  </w:p>
  <w:p w:rsidR="00D6448D" w:rsidRDefault="00D6448D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2889"/>
    <w:multiLevelType w:val="hybridMultilevel"/>
    <w:tmpl w:val="958CA42A"/>
    <w:lvl w:ilvl="0" w:tplc="662638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72269C">
      <w:start w:val="1"/>
      <w:numFmt w:val="lowerLetter"/>
      <w:lvlText w:val="%2."/>
      <w:lvlJc w:val="left"/>
      <w:pPr>
        <w:ind w:left="1440" w:hanging="360"/>
      </w:pPr>
    </w:lvl>
    <w:lvl w:ilvl="2" w:tplc="A618513C">
      <w:start w:val="1"/>
      <w:numFmt w:val="lowerRoman"/>
      <w:lvlText w:val="%3."/>
      <w:lvlJc w:val="right"/>
      <w:pPr>
        <w:ind w:left="2160" w:hanging="180"/>
      </w:pPr>
    </w:lvl>
    <w:lvl w:ilvl="3" w:tplc="C82A8B50">
      <w:start w:val="1"/>
      <w:numFmt w:val="decimal"/>
      <w:lvlText w:val="%4."/>
      <w:lvlJc w:val="left"/>
      <w:pPr>
        <w:ind w:left="2880" w:hanging="360"/>
      </w:pPr>
    </w:lvl>
    <w:lvl w:ilvl="4" w:tplc="200251D2">
      <w:start w:val="1"/>
      <w:numFmt w:val="lowerLetter"/>
      <w:lvlText w:val="%5."/>
      <w:lvlJc w:val="left"/>
      <w:pPr>
        <w:ind w:left="3600" w:hanging="360"/>
      </w:pPr>
    </w:lvl>
    <w:lvl w:ilvl="5" w:tplc="5010C42A">
      <w:start w:val="1"/>
      <w:numFmt w:val="lowerRoman"/>
      <w:lvlText w:val="%6."/>
      <w:lvlJc w:val="right"/>
      <w:pPr>
        <w:ind w:left="4320" w:hanging="180"/>
      </w:pPr>
    </w:lvl>
    <w:lvl w:ilvl="6" w:tplc="F1560818">
      <w:start w:val="1"/>
      <w:numFmt w:val="decimal"/>
      <w:lvlText w:val="%7."/>
      <w:lvlJc w:val="left"/>
      <w:pPr>
        <w:ind w:left="5040" w:hanging="360"/>
      </w:pPr>
    </w:lvl>
    <w:lvl w:ilvl="7" w:tplc="BC686B0A">
      <w:start w:val="1"/>
      <w:numFmt w:val="lowerLetter"/>
      <w:lvlText w:val="%8."/>
      <w:lvlJc w:val="left"/>
      <w:pPr>
        <w:ind w:left="5760" w:hanging="360"/>
      </w:pPr>
    </w:lvl>
    <w:lvl w:ilvl="8" w:tplc="0090CFA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86AD9"/>
    <w:multiLevelType w:val="hybridMultilevel"/>
    <w:tmpl w:val="BFF808EE"/>
    <w:lvl w:ilvl="0" w:tplc="E38CF654">
      <w:start w:val="1"/>
      <w:numFmt w:val="decimal"/>
      <w:lvlText w:val="%1."/>
      <w:lvlJc w:val="left"/>
      <w:pPr>
        <w:ind w:left="433" w:hanging="360"/>
      </w:pPr>
      <w:rPr>
        <w:rFonts w:hint="default"/>
      </w:rPr>
    </w:lvl>
    <w:lvl w:ilvl="1" w:tplc="81D8CD00">
      <w:start w:val="1"/>
      <w:numFmt w:val="lowerLetter"/>
      <w:lvlText w:val="%2."/>
      <w:lvlJc w:val="left"/>
      <w:pPr>
        <w:ind w:left="1153" w:hanging="360"/>
      </w:pPr>
    </w:lvl>
    <w:lvl w:ilvl="2" w:tplc="1442ABDE">
      <w:start w:val="1"/>
      <w:numFmt w:val="lowerRoman"/>
      <w:lvlText w:val="%3."/>
      <w:lvlJc w:val="right"/>
      <w:pPr>
        <w:ind w:left="1873" w:hanging="180"/>
      </w:pPr>
    </w:lvl>
    <w:lvl w:ilvl="3" w:tplc="FD84512A">
      <w:start w:val="1"/>
      <w:numFmt w:val="decimal"/>
      <w:lvlText w:val="%4."/>
      <w:lvlJc w:val="left"/>
      <w:pPr>
        <w:ind w:left="2593" w:hanging="360"/>
      </w:pPr>
    </w:lvl>
    <w:lvl w:ilvl="4" w:tplc="1F821DB0">
      <w:start w:val="1"/>
      <w:numFmt w:val="lowerLetter"/>
      <w:lvlText w:val="%5."/>
      <w:lvlJc w:val="left"/>
      <w:pPr>
        <w:ind w:left="3313" w:hanging="360"/>
      </w:pPr>
    </w:lvl>
    <w:lvl w:ilvl="5" w:tplc="413E6E1C">
      <w:start w:val="1"/>
      <w:numFmt w:val="lowerRoman"/>
      <w:lvlText w:val="%6."/>
      <w:lvlJc w:val="right"/>
      <w:pPr>
        <w:ind w:left="4033" w:hanging="180"/>
      </w:pPr>
    </w:lvl>
    <w:lvl w:ilvl="6" w:tplc="B6182AD8">
      <w:start w:val="1"/>
      <w:numFmt w:val="decimal"/>
      <w:lvlText w:val="%7."/>
      <w:lvlJc w:val="left"/>
      <w:pPr>
        <w:ind w:left="4753" w:hanging="360"/>
      </w:pPr>
    </w:lvl>
    <w:lvl w:ilvl="7" w:tplc="1444DE70">
      <w:start w:val="1"/>
      <w:numFmt w:val="lowerLetter"/>
      <w:lvlText w:val="%8."/>
      <w:lvlJc w:val="left"/>
      <w:pPr>
        <w:ind w:left="5473" w:hanging="360"/>
      </w:pPr>
    </w:lvl>
    <w:lvl w:ilvl="8" w:tplc="191CB832">
      <w:start w:val="1"/>
      <w:numFmt w:val="lowerRoman"/>
      <w:lvlText w:val="%9."/>
      <w:lvlJc w:val="right"/>
      <w:pPr>
        <w:ind w:left="6193" w:hanging="180"/>
      </w:pPr>
    </w:lvl>
  </w:abstractNum>
  <w:abstractNum w:abstractNumId="2" w15:restartNumberingAfterBreak="0">
    <w:nsid w:val="0100155A"/>
    <w:multiLevelType w:val="hybridMultilevel"/>
    <w:tmpl w:val="8D7AFDCC"/>
    <w:lvl w:ilvl="0" w:tplc="15AA65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186DBA0">
      <w:start w:val="1"/>
      <w:numFmt w:val="lowerLetter"/>
      <w:lvlText w:val="%2."/>
      <w:lvlJc w:val="left"/>
      <w:pPr>
        <w:ind w:left="1440" w:hanging="360"/>
      </w:pPr>
    </w:lvl>
    <w:lvl w:ilvl="2" w:tplc="3EF0FBE6">
      <w:start w:val="1"/>
      <w:numFmt w:val="lowerRoman"/>
      <w:lvlText w:val="%3."/>
      <w:lvlJc w:val="right"/>
      <w:pPr>
        <w:ind w:left="2160" w:hanging="180"/>
      </w:pPr>
    </w:lvl>
    <w:lvl w:ilvl="3" w:tplc="506A7DA2">
      <w:start w:val="1"/>
      <w:numFmt w:val="decimal"/>
      <w:lvlText w:val="%4."/>
      <w:lvlJc w:val="left"/>
      <w:pPr>
        <w:ind w:left="2880" w:hanging="360"/>
      </w:pPr>
    </w:lvl>
    <w:lvl w:ilvl="4" w:tplc="1FBCBCDE">
      <w:start w:val="1"/>
      <w:numFmt w:val="lowerLetter"/>
      <w:lvlText w:val="%5."/>
      <w:lvlJc w:val="left"/>
      <w:pPr>
        <w:ind w:left="3600" w:hanging="360"/>
      </w:pPr>
    </w:lvl>
    <w:lvl w:ilvl="5" w:tplc="26887DEC">
      <w:start w:val="1"/>
      <w:numFmt w:val="lowerRoman"/>
      <w:lvlText w:val="%6."/>
      <w:lvlJc w:val="right"/>
      <w:pPr>
        <w:ind w:left="4320" w:hanging="180"/>
      </w:pPr>
    </w:lvl>
    <w:lvl w:ilvl="6" w:tplc="354C2FA8">
      <w:start w:val="1"/>
      <w:numFmt w:val="decimal"/>
      <w:lvlText w:val="%7."/>
      <w:lvlJc w:val="left"/>
      <w:pPr>
        <w:ind w:left="5040" w:hanging="360"/>
      </w:pPr>
    </w:lvl>
    <w:lvl w:ilvl="7" w:tplc="C75A60A8">
      <w:start w:val="1"/>
      <w:numFmt w:val="lowerLetter"/>
      <w:lvlText w:val="%8."/>
      <w:lvlJc w:val="left"/>
      <w:pPr>
        <w:ind w:left="5760" w:hanging="360"/>
      </w:pPr>
    </w:lvl>
    <w:lvl w:ilvl="8" w:tplc="81C62EF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6E0B44"/>
    <w:multiLevelType w:val="hybridMultilevel"/>
    <w:tmpl w:val="D294FBA4"/>
    <w:lvl w:ilvl="0" w:tplc="6FCC81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30683C0">
      <w:start w:val="1"/>
      <w:numFmt w:val="lowerLetter"/>
      <w:lvlText w:val="%2."/>
      <w:lvlJc w:val="left"/>
      <w:pPr>
        <w:ind w:left="1440" w:hanging="360"/>
      </w:pPr>
    </w:lvl>
    <w:lvl w:ilvl="2" w:tplc="068A1F4C">
      <w:start w:val="1"/>
      <w:numFmt w:val="lowerRoman"/>
      <w:lvlText w:val="%3."/>
      <w:lvlJc w:val="right"/>
      <w:pPr>
        <w:ind w:left="2160" w:hanging="180"/>
      </w:pPr>
    </w:lvl>
    <w:lvl w:ilvl="3" w:tplc="E8A0C374">
      <w:start w:val="1"/>
      <w:numFmt w:val="decimal"/>
      <w:lvlText w:val="%4."/>
      <w:lvlJc w:val="left"/>
      <w:pPr>
        <w:ind w:left="2880" w:hanging="360"/>
      </w:pPr>
    </w:lvl>
    <w:lvl w:ilvl="4" w:tplc="BB622E28">
      <w:start w:val="1"/>
      <w:numFmt w:val="lowerLetter"/>
      <w:lvlText w:val="%5."/>
      <w:lvlJc w:val="left"/>
      <w:pPr>
        <w:ind w:left="3600" w:hanging="360"/>
      </w:pPr>
    </w:lvl>
    <w:lvl w:ilvl="5" w:tplc="3B325F0A">
      <w:start w:val="1"/>
      <w:numFmt w:val="lowerRoman"/>
      <w:lvlText w:val="%6."/>
      <w:lvlJc w:val="right"/>
      <w:pPr>
        <w:ind w:left="4320" w:hanging="180"/>
      </w:pPr>
    </w:lvl>
    <w:lvl w:ilvl="6" w:tplc="6346CC56">
      <w:start w:val="1"/>
      <w:numFmt w:val="decimal"/>
      <w:lvlText w:val="%7."/>
      <w:lvlJc w:val="left"/>
      <w:pPr>
        <w:ind w:left="5040" w:hanging="360"/>
      </w:pPr>
    </w:lvl>
    <w:lvl w:ilvl="7" w:tplc="99ACE5E6">
      <w:start w:val="1"/>
      <w:numFmt w:val="lowerLetter"/>
      <w:lvlText w:val="%8."/>
      <w:lvlJc w:val="left"/>
      <w:pPr>
        <w:ind w:left="5760" w:hanging="360"/>
      </w:pPr>
    </w:lvl>
    <w:lvl w:ilvl="8" w:tplc="63B450F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180E3D"/>
    <w:multiLevelType w:val="hybridMultilevel"/>
    <w:tmpl w:val="C7361E5E"/>
    <w:lvl w:ilvl="0" w:tplc="479CBA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0C80A6C">
      <w:start w:val="1"/>
      <w:numFmt w:val="lowerLetter"/>
      <w:lvlText w:val="%2."/>
      <w:lvlJc w:val="left"/>
      <w:pPr>
        <w:ind w:left="1440" w:hanging="360"/>
      </w:pPr>
    </w:lvl>
    <w:lvl w:ilvl="2" w:tplc="16806CBC">
      <w:start w:val="1"/>
      <w:numFmt w:val="lowerRoman"/>
      <w:lvlText w:val="%3."/>
      <w:lvlJc w:val="right"/>
      <w:pPr>
        <w:ind w:left="2160" w:hanging="180"/>
      </w:pPr>
    </w:lvl>
    <w:lvl w:ilvl="3" w:tplc="C310C33C">
      <w:start w:val="1"/>
      <w:numFmt w:val="decimal"/>
      <w:lvlText w:val="%4."/>
      <w:lvlJc w:val="left"/>
      <w:pPr>
        <w:ind w:left="2880" w:hanging="360"/>
      </w:pPr>
    </w:lvl>
    <w:lvl w:ilvl="4" w:tplc="8E12E49A">
      <w:start w:val="1"/>
      <w:numFmt w:val="lowerLetter"/>
      <w:lvlText w:val="%5."/>
      <w:lvlJc w:val="left"/>
      <w:pPr>
        <w:ind w:left="3600" w:hanging="360"/>
      </w:pPr>
    </w:lvl>
    <w:lvl w:ilvl="5" w:tplc="9962DA78">
      <w:start w:val="1"/>
      <w:numFmt w:val="lowerRoman"/>
      <w:lvlText w:val="%6."/>
      <w:lvlJc w:val="right"/>
      <w:pPr>
        <w:ind w:left="4320" w:hanging="180"/>
      </w:pPr>
    </w:lvl>
    <w:lvl w:ilvl="6" w:tplc="E3DC167E">
      <w:start w:val="1"/>
      <w:numFmt w:val="decimal"/>
      <w:lvlText w:val="%7."/>
      <w:lvlJc w:val="left"/>
      <w:pPr>
        <w:ind w:left="5040" w:hanging="360"/>
      </w:pPr>
    </w:lvl>
    <w:lvl w:ilvl="7" w:tplc="4E16FDE2">
      <w:start w:val="1"/>
      <w:numFmt w:val="lowerLetter"/>
      <w:lvlText w:val="%8."/>
      <w:lvlJc w:val="left"/>
      <w:pPr>
        <w:ind w:left="5760" w:hanging="360"/>
      </w:pPr>
    </w:lvl>
    <w:lvl w:ilvl="8" w:tplc="5B4A80F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145458"/>
    <w:multiLevelType w:val="hybridMultilevel"/>
    <w:tmpl w:val="11DA486A"/>
    <w:lvl w:ilvl="0" w:tplc="6FD833F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BC300EB2">
      <w:start w:val="1"/>
      <w:numFmt w:val="lowerLetter"/>
      <w:lvlText w:val="%2."/>
      <w:lvlJc w:val="left"/>
      <w:pPr>
        <w:ind w:left="1440" w:hanging="360"/>
      </w:pPr>
    </w:lvl>
    <w:lvl w:ilvl="2" w:tplc="3272C44A">
      <w:start w:val="1"/>
      <w:numFmt w:val="lowerRoman"/>
      <w:lvlText w:val="%3."/>
      <w:lvlJc w:val="right"/>
      <w:pPr>
        <w:ind w:left="2160" w:hanging="180"/>
      </w:pPr>
    </w:lvl>
    <w:lvl w:ilvl="3" w:tplc="F93861B4">
      <w:start w:val="1"/>
      <w:numFmt w:val="decimal"/>
      <w:lvlText w:val="%4."/>
      <w:lvlJc w:val="left"/>
      <w:pPr>
        <w:ind w:left="2880" w:hanging="360"/>
      </w:pPr>
    </w:lvl>
    <w:lvl w:ilvl="4" w:tplc="C81EDD4E">
      <w:start w:val="1"/>
      <w:numFmt w:val="lowerLetter"/>
      <w:lvlText w:val="%5."/>
      <w:lvlJc w:val="left"/>
      <w:pPr>
        <w:ind w:left="3600" w:hanging="360"/>
      </w:pPr>
    </w:lvl>
    <w:lvl w:ilvl="5" w:tplc="8F984126">
      <w:start w:val="1"/>
      <w:numFmt w:val="lowerRoman"/>
      <w:lvlText w:val="%6."/>
      <w:lvlJc w:val="right"/>
      <w:pPr>
        <w:ind w:left="4320" w:hanging="180"/>
      </w:pPr>
    </w:lvl>
    <w:lvl w:ilvl="6" w:tplc="D132EDE8">
      <w:start w:val="1"/>
      <w:numFmt w:val="decimal"/>
      <w:lvlText w:val="%7."/>
      <w:lvlJc w:val="left"/>
      <w:pPr>
        <w:ind w:left="5040" w:hanging="360"/>
      </w:pPr>
    </w:lvl>
    <w:lvl w:ilvl="7" w:tplc="80468BB0">
      <w:start w:val="1"/>
      <w:numFmt w:val="lowerLetter"/>
      <w:lvlText w:val="%8."/>
      <w:lvlJc w:val="left"/>
      <w:pPr>
        <w:ind w:left="5760" w:hanging="360"/>
      </w:pPr>
    </w:lvl>
    <w:lvl w:ilvl="8" w:tplc="7B444A2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BE51D0"/>
    <w:multiLevelType w:val="hybridMultilevel"/>
    <w:tmpl w:val="9B686038"/>
    <w:lvl w:ilvl="0" w:tplc="DABE53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B1AF0BC">
      <w:start w:val="1"/>
      <w:numFmt w:val="lowerLetter"/>
      <w:lvlText w:val="%2."/>
      <w:lvlJc w:val="left"/>
      <w:pPr>
        <w:ind w:left="1440" w:hanging="360"/>
      </w:pPr>
    </w:lvl>
    <w:lvl w:ilvl="2" w:tplc="DB92EC0E">
      <w:start w:val="1"/>
      <w:numFmt w:val="lowerRoman"/>
      <w:lvlText w:val="%3."/>
      <w:lvlJc w:val="right"/>
      <w:pPr>
        <w:ind w:left="2160" w:hanging="180"/>
      </w:pPr>
    </w:lvl>
    <w:lvl w:ilvl="3" w:tplc="87540898">
      <w:start w:val="1"/>
      <w:numFmt w:val="decimal"/>
      <w:lvlText w:val="%4."/>
      <w:lvlJc w:val="left"/>
      <w:pPr>
        <w:ind w:left="2880" w:hanging="360"/>
      </w:pPr>
    </w:lvl>
    <w:lvl w:ilvl="4" w:tplc="1AB2999C">
      <w:start w:val="1"/>
      <w:numFmt w:val="lowerLetter"/>
      <w:lvlText w:val="%5."/>
      <w:lvlJc w:val="left"/>
      <w:pPr>
        <w:ind w:left="3600" w:hanging="360"/>
      </w:pPr>
    </w:lvl>
    <w:lvl w:ilvl="5" w:tplc="9A2C18F8">
      <w:start w:val="1"/>
      <w:numFmt w:val="lowerRoman"/>
      <w:lvlText w:val="%6."/>
      <w:lvlJc w:val="right"/>
      <w:pPr>
        <w:ind w:left="4320" w:hanging="180"/>
      </w:pPr>
    </w:lvl>
    <w:lvl w:ilvl="6" w:tplc="4DC87522">
      <w:start w:val="1"/>
      <w:numFmt w:val="decimal"/>
      <w:lvlText w:val="%7."/>
      <w:lvlJc w:val="left"/>
      <w:pPr>
        <w:ind w:left="5040" w:hanging="360"/>
      </w:pPr>
    </w:lvl>
    <w:lvl w:ilvl="7" w:tplc="2752C7EE">
      <w:start w:val="1"/>
      <w:numFmt w:val="lowerLetter"/>
      <w:lvlText w:val="%8."/>
      <w:lvlJc w:val="left"/>
      <w:pPr>
        <w:ind w:left="5760" w:hanging="360"/>
      </w:pPr>
    </w:lvl>
    <w:lvl w:ilvl="8" w:tplc="9076609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442EF3"/>
    <w:multiLevelType w:val="hybridMultilevel"/>
    <w:tmpl w:val="B8F072D6"/>
    <w:lvl w:ilvl="0" w:tplc="E5F220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CA62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3406C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1CFE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746E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30C5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3EDC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9055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BA26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0D4636"/>
    <w:multiLevelType w:val="hybridMultilevel"/>
    <w:tmpl w:val="A486495E"/>
    <w:lvl w:ilvl="0" w:tplc="2F80A6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D2D1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EA99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280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6EFA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424A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02BB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2280E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62AB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EB7A59"/>
    <w:multiLevelType w:val="hybridMultilevel"/>
    <w:tmpl w:val="E5742796"/>
    <w:lvl w:ilvl="0" w:tplc="2C5E55C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889034">
      <w:start w:val="1"/>
      <w:numFmt w:val="lowerLetter"/>
      <w:lvlText w:val="%2."/>
      <w:lvlJc w:val="left"/>
      <w:pPr>
        <w:ind w:left="1440" w:hanging="360"/>
      </w:pPr>
    </w:lvl>
    <w:lvl w:ilvl="2" w:tplc="A6C8F7F4">
      <w:start w:val="1"/>
      <w:numFmt w:val="lowerRoman"/>
      <w:lvlText w:val="%3."/>
      <w:lvlJc w:val="right"/>
      <w:pPr>
        <w:ind w:left="2160" w:hanging="180"/>
      </w:pPr>
    </w:lvl>
    <w:lvl w:ilvl="3" w:tplc="DCCAD836">
      <w:start w:val="1"/>
      <w:numFmt w:val="decimal"/>
      <w:lvlText w:val="%4."/>
      <w:lvlJc w:val="left"/>
      <w:pPr>
        <w:ind w:left="2880" w:hanging="360"/>
      </w:pPr>
    </w:lvl>
    <w:lvl w:ilvl="4" w:tplc="3EC42EC4">
      <w:start w:val="1"/>
      <w:numFmt w:val="lowerLetter"/>
      <w:lvlText w:val="%5."/>
      <w:lvlJc w:val="left"/>
      <w:pPr>
        <w:ind w:left="3600" w:hanging="360"/>
      </w:pPr>
    </w:lvl>
    <w:lvl w:ilvl="5" w:tplc="8CCE5F06">
      <w:start w:val="1"/>
      <w:numFmt w:val="lowerRoman"/>
      <w:lvlText w:val="%6."/>
      <w:lvlJc w:val="right"/>
      <w:pPr>
        <w:ind w:left="4320" w:hanging="180"/>
      </w:pPr>
    </w:lvl>
    <w:lvl w:ilvl="6" w:tplc="DA163D68">
      <w:start w:val="1"/>
      <w:numFmt w:val="decimal"/>
      <w:lvlText w:val="%7."/>
      <w:lvlJc w:val="left"/>
      <w:pPr>
        <w:ind w:left="5040" w:hanging="360"/>
      </w:pPr>
    </w:lvl>
    <w:lvl w:ilvl="7" w:tplc="47E6BDD8">
      <w:start w:val="1"/>
      <w:numFmt w:val="lowerLetter"/>
      <w:lvlText w:val="%8."/>
      <w:lvlJc w:val="left"/>
      <w:pPr>
        <w:ind w:left="5760" w:hanging="360"/>
      </w:pPr>
    </w:lvl>
    <w:lvl w:ilvl="8" w:tplc="A77251E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8C5C9A"/>
    <w:multiLevelType w:val="hybridMultilevel"/>
    <w:tmpl w:val="B3BA5922"/>
    <w:lvl w:ilvl="0" w:tplc="F69C8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984F4E">
      <w:start w:val="1"/>
      <w:numFmt w:val="lowerLetter"/>
      <w:lvlText w:val="%2."/>
      <w:lvlJc w:val="left"/>
      <w:pPr>
        <w:ind w:left="1440" w:hanging="360"/>
      </w:pPr>
    </w:lvl>
    <w:lvl w:ilvl="2" w:tplc="F95A7AC0">
      <w:start w:val="1"/>
      <w:numFmt w:val="lowerRoman"/>
      <w:lvlText w:val="%3."/>
      <w:lvlJc w:val="right"/>
      <w:pPr>
        <w:ind w:left="2160" w:hanging="180"/>
      </w:pPr>
    </w:lvl>
    <w:lvl w:ilvl="3" w:tplc="96E689BA">
      <w:start w:val="1"/>
      <w:numFmt w:val="decimal"/>
      <w:lvlText w:val="%4."/>
      <w:lvlJc w:val="left"/>
      <w:pPr>
        <w:ind w:left="2880" w:hanging="360"/>
      </w:pPr>
    </w:lvl>
    <w:lvl w:ilvl="4" w:tplc="492CA30E">
      <w:start w:val="1"/>
      <w:numFmt w:val="lowerLetter"/>
      <w:lvlText w:val="%5."/>
      <w:lvlJc w:val="left"/>
      <w:pPr>
        <w:ind w:left="3600" w:hanging="360"/>
      </w:pPr>
    </w:lvl>
    <w:lvl w:ilvl="5" w:tplc="D980C5A6">
      <w:start w:val="1"/>
      <w:numFmt w:val="lowerRoman"/>
      <w:lvlText w:val="%6."/>
      <w:lvlJc w:val="right"/>
      <w:pPr>
        <w:ind w:left="4320" w:hanging="180"/>
      </w:pPr>
    </w:lvl>
    <w:lvl w:ilvl="6" w:tplc="F026AA6C">
      <w:start w:val="1"/>
      <w:numFmt w:val="decimal"/>
      <w:lvlText w:val="%7."/>
      <w:lvlJc w:val="left"/>
      <w:pPr>
        <w:ind w:left="5040" w:hanging="360"/>
      </w:pPr>
    </w:lvl>
    <w:lvl w:ilvl="7" w:tplc="A01E3174">
      <w:start w:val="1"/>
      <w:numFmt w:val="lowerLetter"/>
      <w:lvlText w:val="%8."/>
      <w:lvlJc w:val="left"/>
      <w:pPr>
        <w:ind w:left="5760" w:hanging="360"/>
      </w:pPr>
    </w:lvl>
    <w:lvl w:ilvl="8" w:tplc="BD1C778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DA15AE"/>
    <w:multiLevelType w:val="hybridMultilevel"/>
    <w:tmpl w:val="B06CB312"/>
    <w:lvl w:ilvl="0" w:tplc="32B0DB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7EE322">
      <w:start w:val="1"/>
      <w:numFmt w:val="lowerLetter"/>
      <w:lvlText w:val="%2."/>
      <w:lvlJc w:val="left"/>
      <w:pPr>
        <w:ind w:left="1440" w:hanging="360"/>
      </w:pPr>
    </w:lvl>
    <w:lvl w:ilvl="2" w:tplc="3852FCF4">
      <w:start w:val="1"/>
      <w:numFmt w:val="lowerRoman"/>
      <w:lvlText w:val="%3."/>
      <w:lvlJc w:val="right"/>
      <w:pPr>
        <w:ind w:left="2160" w:hanging="180"/>
      </w:pPr>
    </w:lvl>
    <w:lvl w:ilvl="3" w:tplc="A6C8D12E">
      <w:start w:val="1"/>
      <w:numFmt w:val="decimal"/>
      <w:lvlText w:val="%4."/>
      <w:lvlJc w:val="left"/>
      <w:pPr>
        <w:ind w:left="2880" w:hanging="360"/>
      </w:pPr>
    </w:lvl>
    <w:lvl w:ilvl="4" w:tplc="6C209DAE">
      <w:start w:val="1"/>
      <w:numFmt w:val="lowerLetter"/>
      <w:lvlText w:val="%5."/>
      <w:lvlJc w:val="left"/>
      <w:pPr>
        <w:ind w:left="3600" w:hanging="360"/>
      </w:pPr>
    </w:lvl>
    <w:lvl w:ilvl="5" w:tplc="B5FE764E">
      <w:start w:val="1"/>
      <w:numFmt w:val="lowerRoman"/>
      <w:lvlText w:val="%6."/>
      <w:lvlJc w:val="right"/>
      <w:pPr>
        <w:ind w:left="4320" w:hanging="180"/>
      </w:pPr>
    </w:lvl>
    <w:lvl w:ilvl="6" w:tplc="EC2E61C4">
      <w:start w:val="1"/>
      <w:numFmt w:val="decimal"/>
      <w:lvlText w:val="%7."/>
      <w:lvlJc w:val="left"/>
      <w:pPr>
        <w:ind w:left="5040" w:hanging="360"/>
      </w:pPr>
    </w:lvl>
    <w:lvl w:ilvl="7" w:tplc="F6A6E6EC">
      <w:start w:val="1"/>
      <w:numFmt w:val="lowerLetter"/>
      <w:lvlText w:val="%8."/>
      <w:lvlJc w:val="left"/>
      <w:pPr>
        <w:ind w:left="5760" w:hanging="360"/>
      </w:pPr>
    </w:lvl>
    <w:lvl w:ilvl="8" w:tplc="9192043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440AAB"/>
    <w:multiLevelType w:val="hybridMultilevel"/>
    <w:tmpl w:val="D96EFB9A"/>
    <w:lvl w:ilvl="0" w:tplc="D96226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6466BE4">
      <w:start w:val="1"/>
      <w:numFmt w:val="lowerLetter"/>
      <w:lvlText w:val="%2."/>
      <w:lvlJc w:val="left"/>
      <w:pPr>
        <w:ind w:left="1440" w:hanging="360"/>
      </w:pPr>
    </w:lvl>
    <w:lvl w:ilvl="2" w:tplc="93EC52EA">
      <w:start w:val="1"/>
      <w:numFmt w:val="lowerRoman"/>
      <w:lvlText w:val="%3."/>
      <w:lvlJc w:val="right"/>
      <w:pPr>
        <w:ind w:left="2160" w:hanging="180"/>
      </w:pPr>
    </w:lvl>
    <w:lvl w:ilvl="3" w:tplc="474203A8">
      <w:start w:val="1"/>
      <w:numFmt w:val="decimal"/>
      <w:lvlText w:val="%4."/>
      <w:lvlJc w:val="left"/>
      <w:pPr>
        <w:ind w:left="2880" w:hanging="360"/>
      </w:pPr>
    </w:lvl>
    <w:lvl w:ilvl="4" w:tplc="7E1429A8">
      <w:start w:val="1"/>
      <w:numFmt w:val="lowerLetter"/>
      <w:lvlText w:val="%5."/>
      <w:lvlJc w:val="left"/>
      <w:pPr>
        <w:ind w:left="3600" w:hanging="360"/>
      </w:pPr>
    </w:lvl>
    <w:lvl w:ilvl="5" w:tplc="7D5CD0B4">
      <w:start w:val="1"/>
      <w:numFmt w:val="lowerRoman"/>
      <w:lvlText w:val="%6."/>
      <w:lvlJc w:val="right"/>
      <w:pPr>
        <w:ind w:left="4320" w:hanging="180"/>
      </w:pPr>
    </w:lvl>
    <w:lvl w:ilvl="6" w:tplc="1AA46EAE">
      <w:start w:val="1"/>
      <w:numFmt w:val="decimal"/>
      <w:lvlText w:val="%7."/>
      <w:lvlJc w:val="left"/>
      <w:pPr>
        <w:ind w:left="5040" w:hanging="360"/>
      </w:pPr>
    </w:lvl>
    <w:lvl w:ilvl="7" w:tplc="97C622B6">
      <w:start w:val="1"/>
      <w:numFmt w:val="lowerLetter"/>
      <w:lvlText w:val="%8."/>
      <w:lvlJc w:val="left"/>
      <w:pPr>
        <w:ind w:left="5760" w:hanging="360"/>
      </w:pPr>
    </w:lvl>
    <w:lvl w:ilvl="8" w:tplc="FCFE51D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40ACE"/>
    <w:multiLevelType w:val="hybridMultilevel"/>
    <w:tmpl w:val="84DC816A"/>
    <w:lvl w:ilvl="0" w:tplc="3E3266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705C90">
      <w:start w:val="1"/>
      <w:numFmt w:val="lowerLetter"/>
      <w:lvlText w:val="%2."/>
      <w:lvlJc w:val="left"/>
      <w:pPr>
        <w:ind w:left="1440" w:hanging="360"/>
      </w:pPr>
    </w:lvl>
    <w:lvl w:ilvl="2" w:tplc="8B2CBB66">
      <w:start w:val="1"/>
      <w:numFmt w:val="lowerRoman"/>
      <w:lvlText w:val="%3."/>
      <w:lvlJc w:val="right"/>
      <w:pPr>
        <w:ind w:left="2160" w:hanging="180"/>
      </w:pPr>
    </w:lvl>
    <w:lvl w:ilvl="3" w:tplc="B5BC7F5C">
      <w:start w:val="1"/>
      <w:numFmt w:val="decimal"/>
      <w:lvlText w:val="%4."/>
      <w:lvlJc w:val="left"/>
      <w:pPr>
        <w:ind w:left="2880" w:hanging="360"/>
      </w:pPr>
    </w:lvl>
    <w:lvl w:ilvl="4" w:tplc="63BC7C4E">
      <w:start w:val="1"/>
      <w:numFmt w:val="lowerLetter"/>
      <w:lvlText w:val="%5."/>
      <w:lvlJc w:val="left"/>
      <w:pPr>
        <w:ind w:left="3600" w:hanging="360"/>
      </w:pPr>
    </w:lvl>
    <w:lvl w:ilvl="5" w:tplc="1E24B1B4">
      <w:start w:val="1"/>
      <w:numFmt w:val="lowerRoman"/>
      <w:lvlText w:val="%6."/>
      <w:lvlJc w:val="right"/>
      <w:pPr>
        <w:ind w:left="4320" w:hanging="180"/>
      </w:pPr>
    </w:lvl>
    <w:lvl w:ilvl="6" w:tplc="FD4007A0">
      <w:start w:val="1"/>
      <w:numFmt w:val="decimal"/>
      <w:lvlText w:val="%7."/>
      <w:lvlJc w:val="left"/>
      <w:pPr>
        <w:ind w:left="5040" w:hanging="360"/>
      </w:pPr>
    </w:lvl>
    <w:lvl w:ilvl="7" w:tplc="F71EBBAE">
      <w:start w:val="1"/>
      <w:numFmt w:val="lowerLetter"/>
      <w:lvlText w:val="%8."/>
      <w:lvlJc w:val="left"/>
      <w:pPr>
        <w:ind w:left="5760" w:hanging="360"/>
      </w:pPr>
    </w:lvl>
    <w:lvl w:ilvl="8" w:tplc="92DA4A0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71E8E"/>
    <w:multiLevelType w:val="hybridMultilevel"/>
    <w:tmpl w:val="D1622EBC"/>
    <w:lvl w:ilvl="0" w:tplc="2D7EAD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A36C8D4">
      <w:start w:val="1"/>
      <w:numFmt w:val="lowerLetter"/>
      <w:lvlText w:val="%2."/>
      <w:lvlJc w:val="left"/>
      <w:pPr>
        <w:ind w:left="1440" w:hanging="360"/>
      </w:pPr>
    </w:lvl>
    <w:lvl w:ilvl="2" w:tplc="F54856B2">
      <w:start w:val="1"/>
      <w:numFmt w:val="lowerRoman"/>
      <w:lvlText w:val="%3."/>
      <w:lvlJc w:val="right"/>
      <w:pPr>
        <w:ind w:left="2160" w:hanging="180"/>
      </w:pPr>
    </w:lvl>
    <w:lvl w:ilvl="3" w:tplc="65AA96D8">
      <w:start w:val="1"/>
      <w:numFmt w:val="decimal"/>
      <w:lvlText w:val="%4."/>
      <w:lvlJc w:val="left"/>
      <w:pPr>
        <w:ind w:left="2880" w:hanging="360"/>
      </w:pPr>
    </w:lvl>
    <w:lvl w:ilvl="4" w:tplc="5372CACA">
      <w:start w:val="1"/>
      <w:numFmt w:val="lowerLetter"/>
      <w:lvlText w:val="%5."/>
      <w:lvlJc w:val="left"/>
      <w:pPr>
        <w:ind w:left="3600" w:hanging="360"/>
      </w:pPr>
    </w:lvl>
    <w:lvl w:ilvl="5" w:tplc="60D08F54">
      <w:start w:val="1"/>
      <w:numFmt w:val="lowerRoman"/>
      <w:lvlText w:val="%6."/>
      <w:lvlJc w:val="right"/>
      <w:pPr>
        <w:ind w:left="4320" w:hanging="180"/>
      </w:pPr>
    </w:lvl>
    <w:lvl w:ilvl="6" w:tplc="29D4F1B0">
      <w:start w:val="1"/>
      <w:numFmt w:val="decimal"/>
      <w:lvlText w:val="%7."/>
      <w:lvlJc w:val="left"/>
      <w:pPr>
        <w:ind w:left="5040" w:hanging="360"/>
      </w:pPr>
    </w:lvl>
    <w:lvl w:ilvl="7" w:tplc="9ACE55F6">
      <w:start w:val="1"/>
      <w:numFmt w:val="lowerLetter"/>
      <w:lvlText w:val="%8."/>
      <w:lvlJc w:val="left"/>
      <w:pPr>
        <w:ind w:left="5760" w:hanging="360"/>
      </w:pPr>
    </w:lvl>
    <w:lvl w:ilvl="8" w:tplc="5A4A1C1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D26E3E"/>
    <w:multiLevelType w:val="hybridMultilevel"/>
    <w:tmpl w:val="29E48BA8"/>
    <w:lvl w:ilvl="0" w:tplc="49CCAED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E25211F4">
      <w:start w:val="1"/>
      <w:numFmt w:val="lowerLetter"/>
      <w:lvlText w:val="%2."/>
      <w:lvlJc w:val="left"/>
      <w:pPr>
        <w:ind w:left="1440" w:hanging="360"/>
      </w:pPr>
    </w:lvl>
    <w:lvl w:ilvl="2" w:tplc="2E2460C8">
      <w:start w:val="1"/>
      <w:numFmt w:val="lowerRoman"/>
      <w:lvlText w:val="%3."/>
      <w:lvlJc w:val="right"/>
      <w:pPr>
        <w:ind w:left="2160" w:hanging="180"/>
      </w:pPr>
    </w:lvl>
    <w:lvl w:ilvl="3" w:tplc="5764307C">
      <w:start w:val="1"/>
      <w:numFmt w:val="decimal"/>
      <w:lvlText w:val="%4."/>
      <w:lvlJc w:val="left"/>
      <w:pPr>
        <w:ind w:left="2880" w:hanging="360"/>
      </w:pPr>
    </w:lvl>
    <w:lvl w:ilvl="4" w:tplc="8C2A987C">
      <w:start w:val="1"/>
      <w:numFmt w:val="lowerLetter"/>
      <w:lvlText w:val="%5."/>
      <w:lvlJc w:val="left"/>
      <w:pPr>
        <w:ind w:left="3600" w:hanging="360"/>
      </w:pPr>
    </w:lvl>
    <w:lvl w:ilvl="5" w:tplc="39B8B1EE">
      <w:start w:val="1"/>
      <w:numFmt w:val="lowerRoman"/>
      <w:lvlText w:val="%6."/>
      <w:lvlJc w:val="right"/>
      <w:pPr>
        <w:ind w:left="4320" w:hanging="180"/>
      </w:pPr>
    </w:lvl>
    <w:lvl w:ilvl="6" w:tplc="832E14B2">
      <w:start w:val="1"/>
      <w:numFmt w:val="decimal"/>
      <w:lvlText w:val="%7."/>
      <w:lvlJc w:val="left"/>
      <w:pPr>
        <w:ind w:left="5040" w:hanging="360"/>
      </w:pPr>
    </w:lvl>
    <w:lvl w:ilvl="7" w:tplc="5CE89432">
      <w:start w:val="1"/>
      <w:numFmt w:val="lowerLetter"/>
      <w:lvlText w:val="%8."/>
      <w:lvlJc w:val="left"/>
      <w:pPr>
        <w:ind w:left="5760" w:hanging="360"/>
      </w:pPr>
    </w:lvl>
    <w:lvl w:ilvl="8" w:tplc="ACCA498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4714A5"/>
    <w:multiLevelType w:val="hybridMultilevel"/>
    <w:tmpl w:val="72D86BBE"/>
    <w:lvl w:ilvl="0" w:tplc="B9C2E3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D002D2">
      <w:start w:val="1"/>
      <w:numFmt w:val="lowerLetter"/>
      <w:lvlText w:val="%2."/>
      <w:lvlJc w:val="left"/>
      <w:pPr>
        <w:ind w:left="1440" w:hanging="360"/>
      </w:pPr>
    </w:lvl>
    <w:lvl w:ilvl="2" w:tplc="A53EBBDA">
      <w:start w:val="1"/>
      <w:numFmt w:val="lowerRoman"/>
      <w:lvlText w:val="%3."/>
      <w:lvlJc w:val="right"/>
      <w:pPr>
        <w:ind w:left="2160" w:hanging="180"/>
      </w:pPr>
    </w:lvl>
    <w:lvl w:ilvl="3" w:tplc="0CF2F1C4">
      <w:start w:val="1"/>
      <w:numFmt w:val="decimal"/>
      <w:lvlText w:val="%4."/>
      <w:lvlJc w:val="left"/>
      <w:pPr>
        <w:ind w:left="2880" w:hanging="360"/>
      </w:pPr>
    </w:lvl>
    <w:lvl w:ilvl="4" w:tplc="88DC04E8">
      <w:start w:val="1"/>
      <w:numFmt w:val="lowerLetter"/>
      <w:lvlText w:val="%5."/>
      <w:lvlJc w:val="left"/>
      <w:pPr>
        <w:ind w:left="3600" w:hanging="360"/>
      </w:pPr>
    </w:lvl>
    <w:lvl w:ilvl="5" w:tplc="B96C03B0">
      <w:start w:val="1"/>
      <w:numFmt w:val="lowerRoman"/>
      <w:lvlText w:val="%6."/>
      <w:lvlJc w:val="right"/>
      <w:pPr>
        <w:ind w:left="4320" w:hanging="180"/>
      </w:pPr>
    </w:lvl>
    <w:lvl w:ilvl="6" w:tplc="BB1004EC">
      <w:start w:val="1"/>
      <w:numFmt w:val="decimal"/>
      <w:lvlText w:val="%7."/>
      <w:lvlJc w:val="left"/>
      <w:pPr>
        <w:ind w:left="5040" w:hanging="360"/>
      </w:pPr>
    </w:lvl>
    <w:lvl w:ilvl="7" w:tplc="17B01F3E">
      <w:start w:val="1"/>
      <w:numFmt w:val="lowerLetter"/>
      <w:lvlText w:val="%8."/>
      <w:lvlJc w:val="left"/>
      <w:pPr>
        <w:ind w:left="5760" w:hanging="360"/>
      </w:pPr>
    </w:lvl>
    <w:lvl w:ilvl="8" w:tplc="E29C217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33F9C"/>
    <w:multiLevelType w:val="multilevel"/>
    <w:tmpl w:val="1F2C26DE"/>
    <w:lvl w:ilvl="0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Calibri" w:hint="default"/>
      </w:rPr>
    </w:lvl>
  </w:abstractNum>
  <w:abstractNum w:abstractNumId="18" w15:restartNumberingAfterBreak="0">
    <w:nsid w:val="2F161137"/>
    <w:multiLevelType w:val="hybridMultilevel"/>
    <w:tmpl w:val="17A8E19E"/>
    <w:lvl w:ilvl="0" w:tplc="2B8CF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3DED256">
      <w:start w:val="1"/>
      <w:numFmt w:val="lowerLetter"/>
      <w:lvlText w:val="%2."/>
      <w:lvlJc w:val="left"/>
      <w:pPr>
        <w:ind w:left="1440" w:hanging="360"/>
      </w:pPr>
    </w:lvl>
    <w:lvl w:ilvl="2" w:tplc="BB24FCF2">
      <w:start w:val="1"/>
      <w:numFmt w:val="lowerRoman"/>
      <w:lvlText w:val="%3."/>
      <w:lvlJc w:val="right"/>
      <w:pPr>
        <w:ind w:left="2160" w:hanging="180"/>
      </w:pPr>
    </w:lvl>
    <w:lvl w:ilvl="3" w:tplc="7302733C">
      <w:start w:val="1"/>
      <w:numFmt w:val="decimal"/>
      <w:lvlText w:val="%4."/>
      <w:lvlJc w:val="left"/>
      <w:pPr>
        <w:ind w:left="2880" w:hanging="360"/>
      </w:pPr>
    </w:lvl>
    <w:lvl w:ilvl="4" w:tplc="56A0A99E">
      <w:start w:val="1"/>
      <w:numFmt w:val="lowerLetter"/>
      <w:lvlText w:val="%5."/>
      <w:lvlJc w:val="left"/>
      <w:pPr>
        <w:ind w:left="3600" w:hanging="360"/>
      </w:pPr>
    </w:lvl>
    <w:lvl w:ilvl="5" w:tplc="9482A62A">
      <w:start w:val="1"/>
      <w:numFmt w:val="lowerRoman"/>
      <w:lvlText w:val="%6."/>
      <w:lvlJc w:val="right"/>
      <w:pPr>
        <w:ind w:left="4320" w:hanging="180"/>
      </w:pPr>
    </w:lvl>
    <w:lvl w:ilvl="6" w:tplc="03960076">
      <w:start w:val="1"/>
      <w:numFmt w:val="decimal"/>
      <w:lvlText w:val="%7."/>
      <w:lvlJc w:val="left"/>
      <w:pPr>
        <w:ind w:left="5040" w:hanging="360"/>
      </w:pPr>
    </w:lvl>
    <w:lvl w:ilvl="7" w:tplc="F2C4CE82">
      <w:start w:val="1"/>
      <w:numFmt w:val="lowerLetter"/>
      <w:lvlText w:val="%8."/>
      <w:lvlJc w:val="left"/>
      <w:pPr>
        <w:ind w:left="5760" w:hanging="360"/>
      </w:pPr>
    </w:lvl>
    <w:lvl w:ilvl="8" w:tplc="08D67A5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E45920"/>
    <w:multiLevelType w:val="hybridMultilevel"/>
    <w:tmpl w:val="E5FA313A"/>
    <w:lvl w:ilvl="0" w:tplc="E5A821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147C88">
      <w:start w:val="1"/>
      <w:numFmt w:val="lowerLetter"/>
      <w:lvlText w:val="%2."/>
      <w:lvlJc w:val="left"/>
      <w:pPr>
        <w:ind w:left="1440" w:hanging="360"/>
      </w:pPr>
    </w:lvl>
    <w:lvl w:ilvl="2" w:tplc="F1BEAC10">
      <w:start w:val="1"/>
      <w:numFmt w:val="lowerRoman"/>
      <w:lvlText w:val="%3."/>
      <w:lvlJc w:val="right"/>
      <w:pPr>
        <w:ind w:left="2160" w:hanging="180"/>
      </w:pPr>
    </w:lvl>
    <w:lvl w:ilvl="3" w:tplc="4FBC48E4">
      <w:start w:val="1"/>
      <w:numFmt w:val="decimal"/>
      <w:lvlText w:val="%4."/>
      <w:lvlJc w:val="left"/>
      <w:pPr>
        <w:ind w:left="2880" w:hanging="360"/>
      </w:pPr>
    </w:lvl>
    <w:lvl w:ilvl="4" w:tplc="C0006666">
      <w:start w:val="1"/>
      <w:numFmt w:val="lowerLetter"/>
      <w:lvlText w:val="%5."/>
      <w:lvlJc w:val="left"/>
      <w:pPr>
        <w:ind w:left="3600" w:hanging="360"/>
      </w:pPr>
    </w:lvl>
    <w:lvl w:ilvl="5" w:tplc="CA3048BE">
      <w:start w:val="1"/>
      <w:numFmt w:val="lowerRoman"/>
      <w:lvlText w:val="%6."/>
      <w:lvlJc w:val="right"/>
      <w:pPr>
        <w:ind w:left="4320" w:hanging="180"/>
      </w:pPr>
    </w:lvl>
    <w:lvl w:ilvl="6" w:tplc="390254FE">
      <w:start w:val="1"/>
      <w:numFmt w:val="decimal"/>
      <w:lvlText w:val="%7."/>
      <w:lvlJc w:val="left"/>
      <w:pPr>
        <w:ind w:left="5040" w:hanging="360"/>
      </w:pPr>
    </w:lvl>
    <w:lvl w:ilvl="7" w:tplc="00F4F644">
      <w:start w:val="1"/>
      <w:numFmt w:val="lowerLetter"/>
      <w:lvlText w:val="%8."/>
      <w:lvlJc w:val="left"/>
      <w:pPr>
        <w:ind w:left="5760" w:hanging="360"/>
      </w:pPr>
    </w:lvl>
    <w:lvl w:ilvl="8" w:tplc="23F8336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81113"/>
    <w:multiLevelType w:val="hybridMultilevel"/>
    <w:tmpl w:val="7B90B062"/>
    <w:lvl w:ilvl="0" w:tplc="24C884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EAED7D6">
      <w:start w:val="1"/>
      <w:numFmt w:val="lowerLetter"/>
      <w:lvlText w:val="%2."/>
      <w:lvlJc w:val="left"/>
      <w:pPr>
        <w:ind w:left="1440" w:hanging="360"/>
      </w:pPr>
    </w:lvl>
    <w:lvl w:ilvl="2" w:tplc="DD80F2D4">
      <w:start w:val="1"/>
      <w:numFmt w:val="lowerRoman"/>
      <w:lvlText w:val="%3."/>
      <w:lvlJc w:val="right"/>
      <w:pPr>
        <w:ind w:left="2160" w:hanging="180"/>
      </w:pPr>
    </w:lvl>
    <w:lvl w:ilvl="3" w:tplc="65F271A2">
      <w:start w:val="1"/>
      <w:numFmt w:val="decimal"/>
      <w:lvlText w:val="%4."/>
      <w:lvlJc w:val="left"/>
      <w:pPr>
        <w:ind w:left="2880" w:hanging="360"/>
      </w:pPr>
    </w:lvl>
    <w:lvl w:ilvl="4" w:tplc="DF3CB736">
      <w:start w:val="1"/>
      <w:numFmt w:val="lowerLetter"/>
      <w:lvlText w:val="%5."/>
      <w:lvlJc w:val="left"/>
      <w:pPr>
        <w:ind w:left="3600" w:hanging="360"/>
      </w:pPr>
    </w:lvl>
    <w:lvl w:ilvl="5" w:tplc="4642D802">
      <w:start w:val="1"/>
      <w:numFmt w:val="lowerRoman"/>
      <w:lvlText w:val="%6."/>
      <w:lvlJc w:val="right"/>
      <w:pPr>
        <w:ind w:left="4320" w:hanging="180"/>
      </w:pPr>
    </w:lvl>
    <w:lvl w:ilvl="6" w:tplc="5E40340A">
      <w:start w:val="1"/>
      <w:numFmt w:val="decimal"/>
      <w:lvlText w:val="%7."/>
      <w:lvlJc w:val="left"/>
      <w:pPr>
        <w:ind w:left="5040" w:hanging="360"/>
      </w:pPr>
    </w:lvl>
    <w:lvl w:ilvl="7" w:tplc="B7C47F3C">
      <w:start w:val="1"/>
      <w:numFmt w:val="lowerLetter"/>
      <w:lvlText w:val="%8."/>
      <w:lvlJc w:val="left"/>
      <w:pPr>
        <w:ind w:left="5760" w:hanging="360"/>
      </w:pPr>
    </w:lvl>
    <w:lvl w:ilvl="8" w:tplc="91B0AD1E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E13DA9"/>
    <w:multiLevelType w:val="hybridMultilevel"/>
    <w:tmpl w:val="76E47560"/>
    <w:lvl w:ilvl="0" w:tplc="791EE4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C05E86">
      <w:start w:val="1"/>
      <w:numFmt w:val="lowerLetter"/>
      <w:lvlText w:val="%2."/>
      <w:lvlJc w:val="left"/>
      <w:pPr>
        <w:ind w:left="1440" w:hanging="360"/>
      </w:pPr>
    </w:lvl>
    <w:lvl w:ilvl="2" w:tplc="B252A5E0">
      <w:start w:val="1"/>
      <w:numFmt w:val="lowerRoman"/>
      <w:lvlText w:val="%3."/>
      <w:lvlJc w:val="right"/>
      <w:pPr>
        <w:ind w:left="2160" w:hanging="180"/>
      </w:pPr>
    </w:lvl>
    <w:lvl w:ilvl="3" w:tplc="0ADE66AE">
      <w:start w:val="1"/>
      <w:numFmt w:val="decimal"/>
      <w:lvlText w:val="%4."/>
      <w:lvlJc w:val="left"/>
      <w:pPr>
        <w:ind w:left="2880" w:hanging="360"/>
      </w:pPr>
    </w:lvl>
    <w:lvl w:ilvl="4" w:tplc="A258A632">
      <w:start w:val="1"/>
      <w:numFmt w:val="lowerLetter"/>
      <w:lvlText w:val="%5."/>
      <w:lvlJc w:val="left"/>
      <w:pPr>
        <w:ind w:left="3600" w:hanging="360"/>
      </w:pPr>
    </w:lvl>
    <w:lvl w:ilvl="5" w:tplc="4D8EC034">
      <w:start w:val="1"/>
      <w:numFmt w:val="lowerRoman"/>
      <w:lvlText w:val="%6."/>
      <w:lvlJc w:val="right"/>
      <w:pPr>
        <w:ind w:left="4320" w:hanging="180"/>
      </w:pPr>
    </w:lvl>
    <w:lvl w:ilvl="6" w:tplc="2DB6FF80">
      <w:start w:val="1"/>
      <w:numFmt w:val="decimal"/>
      <w:lvlText w:val="%7."/>
      <w:lvlJc w:val="left"/>
      <w:pPr>
        <w:ind w:left="5040" w:hanging="360"/>
      </w:pPr>
    </w:lvl>
    <w:lvl w:ilvl="7" w:tplc="6E1475D8">
      <w:start w:val="1"/>
      <w:numFmt w:val="lowerLetter"/>
      <w:lvlText w:val="%8."/>
      <w:lvlJc w:val="left"/>
      <w:pPr>
        <w:ind w:left="5760" w:hanging="360"/>
      </w:pPr>
    </w:lvl>
    <w:lvl w:ilvl="8" w:tplc="836AE77E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BF4DFC"/>
    <w:multiLevelType w:val="hybridMultilevel"/>
    <w:tmpl w:val="E94A82AE"/>
    <w:lvl w:ilvl="0" w:tplc="BB70492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C6AC4460">
      <w:start w:val="1"/>
      <w:numFmt w:val="lowerLetter"/>
      <w:lvlText w:val="%2."/>
      <w:lvlJc w:val="left"/>
      <w:pPr>
        <w:ind w:left="1440" w:hanging="360"/>
      </w:pPr>
    </w:lvl>
    <w:lvl w:ilvl="2" w:tplc="85EAFF1E">
      <w:start w:val="1"/>
      <w:numFmt w:val="lowerRoman"/>
      <w:lvlText w:val="%3."/>
      <w:lvlJc w:val="right"/>
      <w:pPr>
        <w:ind w:left="2160" w:hanging="180"/>
      </w:pPr>
    </w:lvl>
    <w:lvl w:ilvl="3" w:tplc="B742D608">
      <w:start w:val="1"/>
      <w:numFmt w:val="decimal"/>
      <w:lvlText w:val="%4."/>
      <w:lvlJc w:val="left"/>
      <w:pPr>
        <w:ind w:left="2880" w:hanging="360"/>
      </w:pPr>
    </w:lvl>
    <w:lvl w:ilvl="4" w:tplc="678827D0">
      <w:start w:val="1"/>
      <w:numFmt w:val="lowerLetter"/>
      <w:lvlText w:val="%5."/>
      <w:lvlJc w:val="left"/>
      <w:pPr>
        <w:ind w:left="3600" w:hanging="360"/>
      </w:pPr>
    </w:lvl>
    <w:lvl w:ilvl="5" w:tplc="BEC87690">
      <w:start w:val="1"/>
      <w:numFmt w:val="lowerRoman"/>
      <w:lvlText w:val="%6."/>
      <w:lvlJc w:val="right"/>
      <w:pPr>
        <w:ind w:left="4320" w:hanging="180"/>
      </w:pPr>
    </w:lvl>
    <w:lvl w:ilvl="6" w:tplc="CE94A8C6">
      <w:start w:val="1"/>
      <w:numFmt w:val="decimal"/>
      <w:lvlText w:val="%7."/>
      <w:lvlJc w:val="left"/>
      <w:pPr>
        <w:ind w:left="5040" w:hanging="360"/>
      </w:pPr>
    </w:lvl>
    <w:lvl w:ilvl="7" w:tplc="3730BA94">
      <w:start w:val="1"/>
      <w:numFmt w:val="lowerLetter"/>
      <w:lvlText w:val="%8."/>
      <w:lvlJc w:val="left"/>
      <w:pPr>
        <w:ind w:left="5760" w:hanging="360"/>
      </w:pPr>
    </w:lvl>
    <w:lvl w:ilvl="8" w:tplc="355A4F5A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5B1903"/>
    <w:multiLevelType w:val="hybridMultilevel"/>
    <w:tmpl w:val="93129276"/>
    <w:lvl w:ilvl="0" w:tplc="3FA631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E22AE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3A28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CEE3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9658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2283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1EC0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34F3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B0B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EA70D4"/>
    <w:multiLevelType w:val="hybridMultilevel"/>
    <w:tmpl w:val="7FAED75E"/>
    <w:lvl w:ilvl="0" w:tplc="ACDC08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79E68A2">
      <w:start w:val="1"/>
      <w:numFmt w:val="lowerLetter"/>
      <w:lvlText w:val="%2."/>
      <w:lvlJc w:val="left"/>
      <w:pPr>
        <w:ind w:left="1440" w:hanging="360"/>
      </w:pPr>
    </w:lvl>
    <w:lvl w:ilvl="2" w:tplc="8B58571C">
      <w:start w:val="1"/>
      <w:numFmt w:val="lowerRoman"/>
      <w:lvlText w:val="%3."/>
      <w:lvlJc w:val="right"/>
      <w:pPr>
        <w:ind w:left="2160" w:hanging="180"/>
      </w:pPr>
    </w:lvl>
    <w:lvl w:ilvl="3" w:tplc="5FB04D3A">
      <w:start w:val="1"/>
      <w:numFmt w:val="decimal"/>
      <w:lvlText w:val="%4."/>
      <w:lvlJc w:val="left"/>
      <w:pPr>
        <w:ind w:left="2880" w:hanging="360"/>
      </w:pPr>
    </w:lvl>
    <w:lvl w:ilvl="4" w:tplc="1AE07E06">
      <w:start w:val="1"/>
      <w:numFmt w:val="lowerLetter"/>
      <w:lvlText w:val="%5."/>
      <w:lvlJc w:val="left"/>
      <w:pPr>
        <w:ind w:left="3600" w:hanging="360"/>
      </w:pPr>
    </w:lvl>
    <w:lvl w:ilvl="5" w:tplc="20F6CC02">
      <w:start w:val="1"/>
      <w:numFmt w:val="lowerRoman"/>
      <w:lvlText w:val="%6."/>
      <w:lvlJc w:val="right"/>
      <w:pPr>
        <w:ind w:left="4320" w:hanging="180"/>
      </w:pPr>
    </w:lvl>
    <w:lvl w:ilvl="6" w:tplc="ED7C4370">
      <w:start w:val="1"/>
      <w:numFmt w:val="decimal"/>
      <w:lvlText w:val="%7."/>
      <w:lvlJc w:val="left"/>
      <w:pPr>
        <w:ind w:left="5040" w:hanging="360"/>
      </w:pPr>
    </w:lvl>
    <w:lvl w:ilvl="7" w:tplc="7DF0F5CC">
      <w:start w:val="1"/>
      <w:numFmt w:val="lowerLetter"/>
      <w:lvlText w:val="%8."/>
      <w:lvlJc w:val="left"/>
      <w:pPr>
        <w:ind w:left="5760" w:hanging="360"/>
      </w:pPr>
    </w:lvl>
    <w:lvl w:ilvl="8" w:tplc="41FCF4D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D24754"/>
    <w:multiLevelType w:val="hybridMultilevel"/>
    <w:tmpl w:val="25360C4A"/>
    <w:lvl w:ilvl="0" w:tplc="F01C26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57501B70">
      <w:start w:val="1"/>
      <w:numFmt w:val="lowerLetter"/>
      <w:lvlText w:val="%2."/>
      <w:lvlJc w:val="left"/>
      <w:pPr>
        <w:ind w:left="1440" w:hanging="360"/>
      </w:pPr>
    </w:lvl>
    <w:lvl w:ilvl="2" w:tplc="E21272CA">
      <w:start w:val="1"/>
      <w:numFmt w:val="lowerRoman"/>
      <w:lvlText w:val="%3."/>
      <w:lvlJc w:val="right"/>
      <w:pPr>
        <w:ind w:left="2160" w:hanging="180"/>
      </w:pPr>
    </w:lvl>
    <w:lvl w:ilvl="3" w:tplc="17D23E88">
      <w:start w:val="1"/>
      <w:numFmt w:val="decimal"/>
      <w:lvlText w:val="%4."/>
      <w:lvlJc w:val="left"/>
      <w:pPr>
        <w:ind w:left="2880" w:hanging="360"/>
      </w:pPr>
    </w:lvl>
    <w:lvl w:ilvl="4" w:tplc="5D26DDDC">
      <w:start w:val="1"/>
      <w:numFmt w:val="lowerLetter"/>
      <w:lvlText w:val="%5."/>
      <w:lvlJc w:val="left"/>
      <w:pPr>
        <w:ind w:left="3600" w:hanging="360"/>
      </w:pPr>
    </w:lvl>
    <w:lvl w:ilvl="5" w:tplc="E1F046C8">
      <w:start w:val="1"/>
      <w:numFmt w:val="lowerRoman"/>
      <w:lvlText w:val="%6."/>
      <w:lvlJc w:val="right"/>
      <w:pPr>
        <w:ind w:left="4320" w:hanging="180"/>
      </w:pPr>
    </w:lvl>
    <w:lvl w:ilvl="6" w:tplc="D918FFAA">
      <w:start w:val="1"/>
      <w:numFmt w:val="decimal"/>
      <w:lvlText w:val="%7."/>
      <w:lvlJc w:val="left"/>
      <w:pPr>
        <w:ind w:left="5040" w:hanging="360"/>
      </w:pPr>
    </w:lvl>
    <w:lvl w:ilvl="7" w:tplc="ADC2660E">
      <w:start w:val="1"/>
      <w:numFmt w:val="lowerLetter"/>
      <w:lvlText w:val="%8."/>
      <w:lvlJc w:val="left"/>
      <w:pPr>
        <w:ind w:left="5760" w:hanging="360"/>
      </w:pPr>
    </w:lvl>
    <w:lvl w:ilvl="8" w:tplc="B2E44B0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E21628"/>
    <w:multiLevelType w:val="hybridMultilevel"/>
    <w:tmpl w:val="7B74AA6E"/>
    <w:lvl w:ilvl="0" w:tplc="E0664D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6B48A42">
      <w:start w:val="1"/>
      <w:numFmt w:val="lowerLetter"/>
      <w:lvlText w:val="%2."/>
      <w:lvlJc w:val="left"/>
      <w:pPr>
        <w:ind w:left="1440" w:hanging="360"/>
      </w:pPr>
    </w:lvl>
    <w:lvl w:ilvl="2" w:tplc="A4442FCE">
      <w:start w:val="1"/>
      <w:numFmt w:val="lowerRoman"/>
      <w:lvlText w:val="%3."/>
      <w:lvlJc w:val="right"/>
      <w:pPr>
        <w:ind w:left="2160" w:hanging="180"/>
      </w:pPr>
    </w:lvl>
    <w:lvl w:ilvl="3" w:tplc="7842EDD0">
      <w:start w:val="1"/>
      <w:numFmt w:val="decimal"/>
      <w:lvlText w:val="%4."/>
      <w:lvlJc w:val="left"/>
      <w:pPr>
        <w:ind w:left="2880" w:hanging="360"/>
      </w:pPr>
    </w:lvl>
    <w:lvl w:ilvl="4" w:tplc="F26CDBFE">
      <w:start w:val="1"/>
      <w:numFmt w:val="lowerLetter"/>
      <w:lvlText w:val="%5."/>
      <w:lvlJc w:val="left"/>
      <w:pPr>
        <w:ind w:left="3600" w:hanging="360"/>
      </w:pPr>
    </w:lvl>
    <w:lvl w:ilvl="5" w:tplc="553E819E">
      <w:start w:val="1"/>
      <w:numFmt w:val="lowerRoman"/>
      <w:lvlText w:val="%6."/>
      <w:lvlJc w:val="right"/>
      <w:pPr>
        <w:ind w:left="4320" w:hanging="180"/>
      </w:pPr>
    </w:lvl>
    <w:lvl w:ilvl="6" w:tplc="E90287C6">
      <w:start w:val="1"/>
      <w:numFmt w:val="decimal"/>
      <w:lvlText w:val="%7."/>
      <w:lvlJc w:val="left"/>
      <w:pPr>
        <w:ind w:left="5040" w:hanging="360"/>
      </w:pPr>
    </w:lvl>
    <w:lvl w:ilvl="7" w:tplc="50484492">
      <w:start w:val="1"/>
      <w:numFmt w:val="lowerLetter"/>
      <w:lvlText w:val="%8."/>
      <w:lvlJc w:val="left"/>
      <w:pPr>
        <w:ind w:left="5760" w:hanging="360"/>
      </w:pPr>
    </w:lvl>
    <w:lvl w:ilvl="8" w:tplc="22B61002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501772"/>
    <w:multiLevelType w:val="hybridMultilevel"/>
    <w:tmpl w:val="4CDAC2CA"/>
    <w:lvl w:ilvl="0" w:tplc="7A30081E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B6FC5846">
      <w:start w:val="1"/>
      <w:numFmt w:val="lowerLetter"/>
      <w:lvlText w:val="%2."/>
      <w:lvlJc w:val="left"/>
      <w:pPr>
        <w:ind w:left="1440" w:hanging="360"/>
      </w:pPr>
    </w:lvl>
    <w:lvl w:ilvl="2" w:tplc="D1C8642E">
      <w:start w:val="1"/>
      <w:numFmt w:val="lowerRoman"/>
      <w:lvlText w:val="%3."/>
      <w:lvlJc w:val="right"/>
      <w:pPr>
        <w:ind w:left="2160" w:hanging="180"/>
      </w:pPr>
    </w:lvl>
    <w:lvl w:ilvl="3" w:tplc="CF84712C">
      <w:start w:val="1"/>
      <w:numFmt w:val="decimal"/>
      <w:lvlText w:val="%4."/>
      <w:lvlJc w:val="left"/>
      <w:pPr>
        <w:ind w:left="2880" w:hanging="360"/>
      </w:pPr>
    </w:lvl>
    <w:lvl w:ilvl="4" w:tplc="3EDA7A78">
      <w:start w:val="1"/>
      <w:numFmt w:val="lowerLetter"/>
      <w:lvlText w:val="%5."/>
      <w:lvlJc w:val="left"/>
      <w:pPr>
        <w:ind w:left="3600" w:hanging="360"/>
      </w:pPr>
    </w:lvl>
    <w:lvl w:ilvl="5" w:tplc="F490D674">
      <w:start w:val="1"/>
      <w:numFmt w:val="lowerRoman"/>
      <w:lvlText w:val="%6."/>
      <w:lvlJc w:val="right"/>
      <w:pPr>
        <w:ind w:left="4320" w:hanging="180"/>
      </w:pPr>
    </w:lvl>
    <w:lvl w:ilvl="6" w:tplc="E1B68792">
      <w:start w:val="1"/>
      <w:numFmt w:val="decimal"/>
      <w:lvlText w:val="%7."/>
      <w:lvlJc w:val="left"/>
      <w:pPr>
        <w:ind w:left="5040" w:hanging="360"/>
      </w:pPr>
    </w:lvl>
    <w:lvl w:ilvl="7" w:tplc="65D065CE">
      <w:start w:val="1"/>
      <w:numFmt w:val="lowerLetter"/>
      <w:lvlText w:val="%8."/>
      <w:lvlJc w:val="left"/>
      <w:pPr>
        <w:ind w:left="5760" w:hanging="360"/>
      </w:pPr>
    </w:lvl>
    <w:lvl w:ilvl="8" w:tplc="F96A0392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6949E6"/>
    <w:multiLevelType w:val="hybridMultilevel"/>
    <w:tmpl w:val="809C7A5A"/>
    <w:lvl w:ilvl="0" w:tplc="6C8E05D2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BF2A4C38">
      <w:start w:val="1"/>
      <w:numFmt w:val="lowerLetter"/>
      <w:lvlText w:val="%2."/>
      <w:lvlJc w:val="left"/>
      <w:pPr>
        <w:ind w:left="1440" w:hanging="360"/>
      </w:pPr>
    </w:lvl>
    <w:lvl w:ilvl="2" w:tplc="649AED42">
      <w:start w:val="1"/>
      <w:numFmt w:val="lowerRoman"/>
      <w:lvlText w:val="%3."/>
      <w:lvlJc w:val="right"/>
      <w:pPr>
        <w:ind w:left="2160" w:hanging="180"/>
      </w:pPr>
    </w:lvl>
    <w:lvl w:ilvl="3" w:tplc="B1B2A498">
      <w:start w:val="1"/>
      <w:numFmt w:val="decimal"/>
      <w:lvlText w:val="%4."/>
      <w:lvlJc w:val="left"/>
      <w:pPr>
        <w:ind w:left="2880" w:hanging="360"/>
      </w:pPr>
    </w:lvl>
    <w:lvl w:ilvl="4" w:tplc="069CF9BA">
      <w:start w:val="1"/>
      <w:numFmt w:val="lowerLetter"/>
      <w:lvlText w:val="%5."/>
      <w:lvlJc w:val="left"/>
      <w:pPr>
        <w:ind w:left="3600" w:hanging="360"/>
      </w:pPr>
    </w:lvl>
    <w:lvl w:ilvl="5" w:tplc="1EA621D4">
      <w:start w:val="1"/>
      <w:numFmt w:val="lowerRoman"/>
      <w:lvlText w:val="%6."/>
      <w:lvlJc w:val="right"/>
      <w:pPr>
        <w:ind w:left="4320" w:hanging="180"/>
      </w:pPr>
    </w:lvl>
    <w:lvl w:ilvl="6" w:tplc="177C5738">
      <w:start w:val="1"/>
      <w:numFmt w:val="decimal"/>
      <w:lvlText w:val="%7."/>
      <w:lvlJc w:val="left"/>
      <w:pPr>
        <w:ind w:left="5040" w:hanging="360"/>
      </w:pPr>
    </w:lvl>
    <w:lvl w:ilvl="7" w:tplc="5CC8D464">
      <w:start w:val="1"/>
      <w:numFmt w:val="lowerLetter"/>
      <w:lvlText w:val="%8."/>
      <w:lvlJc w:val="left"/>
      <w:pPr>
        <w:ind w:left="5760" w:hanging="360"/>
      </w:pPr>
    </w:lvl>
    <w:lvl w:ilvl="8" w:tplc="ADB6A2DC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BF1531"/>
    <w:multiLevelType w:val="hybridMultilevel"/>
    <w:tmpl w:val="4148DFAE"/>
    <w:lvl w:ilvl="0" w:tplc="9F8A0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A9820E0">
      <w:start w:val="1"/>
      <w:numFmt w:val="lowerLetter"/>
      <w:lvlText w:val="%2."/>
      <w:lvlJc w:val="left"/>
      <w:pPr>
        <w:ind w:left="1440" w:hanging="360"/>
      </w:pPr>
    </w:lvl>
    <w:lvl w:ilvl="2" w:tplc="78EA041C">
      <w:start w:val="1"/>
      <w:numFmt w:val="lowerRoman"/>
      <w:lvlText w:val="%3."/>
      <w:lvlJc w:val="right"/>
      <w:pPr>
        <w:ind w:left="2160" w:hanging="180"/>
      </w:pPr>
    </w:lvl>
    <w:lvl w:ilvl="3" w:tplc="EE365520">
      <w:start w:val="1"/>
      <w:numFmt w:val="decimal"/>
      <w:lvlText w:val="%4."/>
      <w:lvlJc w:val="left"/>
      <w:pPr>
        <w:ind w:left="2880" w:hanging="360"/>
      </w:pPr>
    </w:lvl>
    <w:lvl w:ilvl="4" w:tplc="35B48C34">
      <w:start w:val="1"/>
      <w:numFmt w:val="lowerLetter"/>
      <w:lvlText w:val="%5."/>
      <w:lvlJc w:val="left"/>
      <w:pPr>
        <w:ind w:left="3600" w:hanging="360"/>
      </w:pPr>
    </w:lvl>
    <w:lvl w:ilvl="5" w:tplc="3886F51E">
      <w:start w:val="1"/>
      <w:numFmt w:val="lowerRoman"/>
      <w:lvlText w:val="%6."/>
      <w:lvlJc w:val="right"/>
      <w:pPr>
        <w:ind w:left="4320" w:hanging="180"/>
      </w:pPr>
    </w:lvl>
    <w:lvl w:ilvl="6" w:tplc="3C364FBA">
      <w:start w:val="1"/>
      <w:numFmt w:val="decimal"/>
      <w:lvlText w:val="%7."/>
      <w:lvlJc w:val="left"/>
      <w:pPr>
        <w:ind w:left="5040" w:hanging="360"/>
      </w:pPr>
    </w:lvl>
    <w:lvl w:ilvl="7" w:tplc="17465E3C">
      <w:start w:val="1"/>
      <w:numFmt w:val="lowerLetter"/>
      <w:lvlText w:val="%8."/>
      <w:lvlJc w:val="left"/>
      <w:pPr>
        <w:ind w:left="5760" w:hanging="360"/>
      </w:pPr>
    </w:lvl>
    <w:lvl w:ilvl="8" w:tplc="B6686A94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5167EA"/>
    <w:multiLevelType w:val="hybridMultilevel"/>
    <w:tmpl w:val="801C5158"/>
    <w:lvl w:ilvl="0" w:tplc="10B417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952E444">
      <w:start w:val="1"/>
      <w:numFmt w:val="lowerLetter"/>
      <w:lvlText w:val="%2."/>
      <w:lvlJc w:val="left"/>
      <w:pPr>
        <w:ind w:left="1440" w:hanging="360"/>
      </w:pPr>
    </w:lvl>
    <w:lvl w:ilvl="2" w:tplc="CBAE68B6">
      <w:start w:val="1"/>
      <w:numFmt w:val="lowerRoman"/>
      <w:lvlText w:val="%3."/>
      <w:lvlJc w:val="right"/>
      <w:pPr>
        <w:ind w:left="2160" w:hanging="180"/>
      </w:pPr>
    </w:lvl>
    <w:lvl w:ilvl="3" w:tplc="7AE418B6">
      <w:start w:val="1"/>
      <w:numFmt w:val="decimal"/>
      <w:lvlText w:val="%4."/>
      <w:lvlJc w:val="left"/>
      <w:pPr>
        <w:ind w:left="2880" w:hanging="360"/>
      </w:pPr>
    </w:lvl>
    <w:lvl w:ilvl="4" w:tplc="5570FA86">
      <w:start w:val="1"/>
      <w:numFmt w:val="lowerLetter"/>
      <w:lvlText w:val="%5."/>
      <w:lvlJc w:val="left"/>
      <w:pPr>
        <w:ind w:left="3600" w:hanging="360"/>
      </w:pPr>
    </w:lvl>
    <w:lvl w:ilvl="5" w:tplc="8C58A1BE">
      <w:start w:val="1"/>
      <w:numFmt w:val="lowerRoman"/>
      <w:lvlText w:val="%6."/>
      <w:lvlJc w:val="right"/>
      <w:pPr>
        <w:ind w:left="4320" w:hanging="180"/>
      </w:pPr>
    </w:lvl>
    <w:lvl w:ilvl="6" w:tplc="95763C06">
      <w:start w:val="1"/>
      <w:numFmt w:val="decimal"/>
      <w:lvlText w:val="%7."/>
      <w:lvlJc w:val="left"/>
      <w:pPr>
        <w:ind w:left="5040" w:hanging="360"/>
      </w:pPr>
    </w:lvl>
    <w:lvl w:ilvl="7" w:tplc="090A1E5A">
      <w:start w:val="1"/>
      <w:numFmt w:val="lowerLetter"/>
      <w:lvlText w:val="%8."/>
      <w:lvlJc w:val="left"/>
      <w:pPr>
        <w:ind w:left="5760" w:hanging="360"/>
      </w:pPr>
    </w:lvl>
    <w:lvl w:ilvl="8" w:tplc="EC46DCA4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0630CF"/>
    <w:multiLevelType w:val="hybridMultilevel"/>
    <w:tmpl w:val="58E48C04"/>
    <w:lvl w:ilvl="0" w:tplc="1D0CBD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A44ED0AC">
      <w:start w:val="1"/>
      <w:numFmt w:val="lowerLetter"/>
      <w:lvlText w:val="%2."/>
      <w:lvlJc w:val="left"/>
      <w:pPr>
        <w:ind w:left="1440" w:hanging="360"/>
      </w:pPr>
    </w:lvl>
    <w:lvl w:ilvl="2" w:tplc="E9EEED40">
      <w:start w:val="1"/>
      <w:numFmt w:val="lowerRoman"/>
      <w:lvlText w:val="%3."/>
      <w:lvlJc w:val="right"/>
      <w:pPr>
        <w:ind w:left="2160" w:hanging="180"/>
      </w:pPr>
    </w:lvl>
    <w:lvl w:ilvl="3" w:tplc="6032C158">
      <w:start w:val="1"/>
      <w:numFmt w:val="decimal"/>
      <w:lvlText w:val="%4."/>
      <w:lvlJc w:val="left"/>
      <w:pPr>
        <w:ind w:left="2880" w:hanging="360"/>
      </w:pPr>
    </w:lvl>
    <w:lvl w:ilvl="4" w:tplc="CDF26122">
      <w:start w:val="1"/>
      <w:numFmt w:val="lowerLetter"/>
      <w:lvlText w:val="%5."/>
      <w:lvlJc w:val="left"/>
      <w:pPr>
        <w:ind w:left="3600" w:hanging="360"/>
      </w:pPr>
    </w:lvl>
    <w:lvl w:ilvl="5" w:tplc="F0D4ABDE">
      <w:start w:val="1"/>
      <w:numFmt w:val="lowerRoman"/>
      <w:lvlText w:val="%6."/>
      <w:lvlJc w:val="right"/>
      <w:pPr>
        <w:ind w:left="4320" w:hanging="180"/>
      </w:pPr>
    </w:lvl>
    <w:lvl w:ilvl="6" w:tplc="EC5056F6">
      <w:start w:val="1"/>
      <w:numFmt w:val="decimal"/>
      <w:lvlText w:val="%7."/>
      <w:lvlJc w:val="left"/>
      <w:pPr>
        <w:ind w:left="5040" w:hanging="360"/>
      </w:pPr>
    </w:lvl>
    <w:lvl w:ilvl="7" w:tplc="74B4BCBE">
      <w:start w:val="1"/>
      <w:numFmt w:val="lowerLetter"/>
      <w:lvlText w:val="%8."/>
      <w:lvlJc w:val="left"/>
      <w:pPr>
        <w:ind w:left="5760" w:hanging="360"/>
      </w:pPr>
    </w:lvl>
    <w:lvl w:ilvl="8" w:tplc="4852EC5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4F0027"/>
    <w:multiLevelType w:val="hybridMultilevel"/>
    <w:tmpl w:val="F30005AA"/>
    <w:lvl w:ilvl="0" w:tplc="B1FA5C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AA5CE8">
      <w:start w:val="1"/>
      <w:numFmt w:val="lowerLetter"/>
      <w:lvlText w:val="%2."/>
      <w:lvlJc w:val="left"/>
      <w:pPr>
        <w:ind w:left="1440" w:hanging="360"/>
      </w:pPr>
    </w:lvl>
    <w:lvl w:ilvl="2" w:tplc="9C087200">
      <w:start w:val="1"/>
      <w:numFmt w:val="lowerRoman"/>
      <w:lvlText w:val="%3."/>
      <w:lvlJc w:val="right"/>
      <w:pPr>
        <w:ind w:left="2160" w:hanging="180"/>
      </w:pPr>
    </w:lvl>
    <w:lvl w:ilvl="3" w:tplc="C562FD18">
      <w:start w:val="1"/>
      <w:numFmt w:val="decimal"/>
      <w:lvlText w:val="%4."/>
      <w:lvlJc w:val="left"/>
      <w:pPr>
        <w:ind w:left="2880" w:hanging="360"/>
      </w:pPr>
    </w:lvl>
    <w:lvl w:ilvl="4" w:tplc="18DE3B0E">
      <w:start w:val="1"/>
      <w:numFmt w:val="lowerLetter"/>
      <w:lvlText w:val="%5."/>
      <w:lvlJc w:val="left"/>
      <w:pPr>
        <w:ind w:left="3600" w:hanging="360"/>
      </w:pPr>
    </w:lvl>
    <w:lvl w:ilvl="5" w:tplc="09ECE658">
      <w:start w:val="1"/>
      <w:numFmt w:val="lowerRoman"/>
      <w:lvlText w:val="%6."/>
      <w:lvlJc w:val="right"/>
      <w:pPr>
        <w:ind w:left="4320" w:hanging="180"/>
      </w:pPr>
    </w:lvl>
    <w:lvl w:ilvl="6" w:tplc="4B2A192C">
      <w:start w:val="1"/>
      <w:numFmt w:val="decimal"/>
      <w:lvlText w:val="%7."/>
      <w:lvlJc w:val="left"/>
      <w:pPr>
        <w:ind w:left="5040" w:hanging="360"/>
      </w:pPr>
    </w:lvl>
    <w:lvl w:ilvl="7" w:tplc="10AACA7A">
      <w:start w:val="1"/>
      <w:numFmt w:val="lowerLetter"/>
      <w:lvlText w:val="%8."/>
      <w:lvlJc w:val="left"/>
      <w:pPr>
        <w:ind w:left="5760" w:hanging="360"/>
      </w:pPr>
    </w:lvl>
    <w:lvl w:ilvl="8" w:tplc="5B5C642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06E64"/>
    <w:multiLevelType w:val="hybridMultilevel"/>
    <w:tmpl w:val="66D6A654"/>
    <w:lvl w:ilvl="0" w:tplc="924E27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D5CC73C">
      <w:start w:val="1"/>
      <w:numFmt w:val="lowerLetter"/>
      <w:lvlText w:val="%2."/>
      <w:lvlJc w:val="left"/>
      <w:pPr>
        <w:ind w:left="1440" w:hanging="360"/>
      </w:pPr>
    </w:lvl>
    <w:lvl w:ilvl="2" w:tplc="E29C2DB4">
      <w:start w:val="1"/>
      <w:numFmt w:val="lowerRoman"/>
      <w:lvlText w:val="%3."/>
      <w:lvlJc w:val="right"/>
      <w:pPr>
        <w:ind w:left="2160" w:hanging="180"/>
      </w:pPr>
    </w:lvl>
    <w:lvl w:ilvl="3" w:tplc="D8FAA460">
      <w:start w:val="1"/>
      <w:numFmt w:val="decimal"/>
      <w:lvlText w:val="%4."/>
      <w:lvlJc w:val="left"/>
      <w:pPr>
        <w:ind w:left="2880" w:hanging="360"/>
      </w:pPr>
    </w:lvl>
    <w:lvl w:ilvl="4" w:tplc="901614E4">
      <w:start w:val="1"/>
      <w:numFmt w:val="lowerLetter"/>
      <w:lvlText w:val="%5."/>
      <w:lvlJc w:val="left"/>
      <w:pPr>
        <w:ind w:left="3600" w:hanging="360"/>
      </w:pPr>
    </w:lvl>
    <w:lvl w:ilvl="5" w:tplc="D58862B8">
      <w:start w:val="1"/>
      <w:numFmt w:val="lowerRoman"/>
      <w:lvlText w:val="%6."/>
      <w:lvlJc w:val="right"/>
      <w:pPr>
        <w:ind w:left="4320" w:hanging="180"/>
      </w:pPr>
    </w:lvl>
    <w:lvl w:ilvl="6" w:tplc="B40220FA">
      <w:start w:val="1"/>
      <w:numFmt w:val="decimal"/>
      <w:lvlText w:val="%7."/>
      <w:lvlJc w:val="left"/>
      <w:pPr>
        <w:ind w:left="5040" w:hanging="360"/>
      </w:pPr>
    </w:lvl>
    <w:lvl w:ilvl="7" w:tplc="69DEECBA">
      <w:start w:val="1"/>
      <w:numFmt w:val="lowerLetter"/>
      <w:lvlText w:val="%8."/>
      <w:lvlJc w:val="left"/>
      <w:pPr>
        <w:ind w:left="5760" w:hanging="360"/>
      </w:pPr>
    </w:lvl>
    <w:lvl w:ilvl="8" w:tplc="5D2E1332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F85805"/>
    <w:multiLevelType w:val="hybridMultilevel"/>
    <w:tmpl w:val="184A454A"/>
    <w:lvl w:ilvl="0" w:tplc="A2CAA3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1AA66A4">
      <w:start w:val="1"/>
      <w:numFmt w:val="lowerLetter"/>
      <w:lvlText w:val="%2."/>
      <w:lvlJc w:val="left"/>
      <w:pPr>
        <w:ind w:left="1440" w:hanging="360"/>
      </w:pPr>
    </w:lvl>
    <w:lvl w:ilvl="2" w:tplc="35BA6F68">
      <w:start w:val="1"/>
      <w:numFmt w:val="lowerRoman"/>
      <w:lvlText w:val="%3."/>
      <w:lvlJc w:val="right"/>
      <w:pPr>
        <w:ind w:left="2160" w:hanging="180"/>
      </w:pPr>
    </w:lvl>
    <w:lvl w:ilvl="3" w:tplc="5A5263B8">
      <w:start w:val="1"/>
      <w:numFmt w:val="decimal"/>
      <w:lvlText w:val="%4."/>
      <w:lvlJc w:val="left"/>
      <w:pPr>
        <w:ind w:left="2880" w:hanging="360"/>
      </w:pPr>
    </w:lvl>
    <w:lvl w:ilvl="4" w:tplc="15D4E1C0">
      <w:start w:val="1"/>
      <w:numFmt w:val="lowerLetter"/>
      <w:lvlText w:val="%5."/>
      <w:lvlJc w:val="left"/>
      <w:pPr>
        <w:ind w:left="3600" w:hanging="360"/>
      </w:pPr>
    </w:lvl>
    <w:lvl w:ilvl="5" w:tplc="0030948E">
      <w:start w:val="1"/>
      <w:numFmt w:val="lowerRoman"/>
      <w:lvlText w:val="%6."/>
      <w:lvlJc w:val="right"/>
      <w:pPr>
        <w:ind w:left="4320" w:hanging="180"/>
      </w:pPr>
    </w:lvl>
    <w:lvl w:ilvl="6" w:tplc="9142F800">
      <w:start w:val="1"/>
      <w:numFmt w:val="decimal"/>
      <w:lvlText w:val="%7."/>
      <w:lvlJc w:val="left"/>
      <w:pPr>
        <w:ind w:left="5040" w:hanging="360"/>
      </w:pPr>
    </w:lvl>
    <w:lvl w:ilvl="7" w:tplc="E2068ADC">
      <w:start w:val="1"/>
      <w:numFmt w:val="lowerLetter"/>
      <w:lvlText w:val="%8."/>
      <w:lvlJc w:val="left"/>
      <w:pPr>
        <w:ind w:left="5760" w:hanging="360"/>
      </w:pPr>
    </w:lvl>
    <w:lvl w:ilvl="8" w:tplc="B6DA596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9D0F31"/>
    <w:multiLevelType w:val="hybridMultilevel"/>
    <w:tmpl w:val="DABE28B0"/>
    <w:lvl w:ilvl="0" w:tplc="67D6FC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1A15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8462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0434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E26C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24DD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B84E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0293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2859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824574"/>
    <w:multiLevelType w:val="hybridMultilevel"/>
    <w:tmpl w:val="734C891E"/>
    <w:lvl w:ilvl="0" w:tplc="ED86C6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C6F0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5C31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443E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68E4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0C46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FC00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2C6D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CA0F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0"/>
  </w:num>
  <w:num w:numId="3">
    <w:abstractNumId w:val="36"/>
  </w:num>
  <w:num w:numId="4">
    <w:abstractNumId w:val="12"/>
  </w:num>
  <w:num w:numId="5">
    <w:abstractNumId w:val="18"/>
  </w:num>
  <w:num w:numId="6">
    <w:abstractNumId w:val="2"/>
  </w:num>
  <w:num w:numId="7">
    <w:abstractNumId w:val="3"/>
  </w:num>
  <w:num w:numId="8">
    <w:abstractNumId w:val="14"/>
  </w:num>
  <w:num w:numId="9">
    <w:abstractNumId w:val="7"/>
  </w:num>
  <w:num w:numId="10">
    <w:abstractNumId w:val="4"/>
  </w:num>
  <w:num w:numId="11">
    <w:abstractNumId w:val="8"/>
  </w:num>
  <w:num w:numId="12">
    <w:abstractNumId w:val="23"/>
  </w:num>
  <w:num w:numId="13">
    <w:abstractNumId w:val="16"/>
  </w:num>
  <w:num w:numId="14">
    <w:abstractNumId w:val="24"/>
  </w:num>
  <w:num w:numId="15">
    <w:abstractNumId w:val="17"/>
  </w:num>
  <w:num w:numId="16">
    <w:abstractNumId w:val="21"/>
  </w:num>
  <w:num w:numId="17">
    <w:abstractNumId w:val="26"/>
  </w:num>
  <w:num w:numId="18">
    <w:abstractNumId w:val="27"/>
  </w:num>
  <w:num w:numId="19">
    <w:abstractNumId w:val="22"/>
  </w:num>
  <w:num w:numId="20">
    <w:abstractNumId w:val="13"/>
  </w:num>
  <w:num w:numId="21">
    <w:abstractNumId w:val="6"/>
  </w:num>
  <w:num w:numId="22">
    <w:abstractNumId w:val="31"/>
  </w:num>
  <w:num w:numId="23">
    <w:abstractNumId w:val="28"/>
  </w:num>
  <w:num w:numId="24">
    <w:abstractNumId w:val="15"/>
  </w:num>
  <w:num w:numId="25">
    <w:abstractNumId w:val="5"/>
  </w:num>
  <w:num w:numId="26">
    <w:abstractNumId w:val="11"/>
  </w:num>
  <w:num w:numId="27">
    <w:abstractNumId w:val="33"/>
  </w:num>
  <w:num w:numId="28">
    <w:abstractNumId w:val="30"/>
  </w:num>
  <w:num w:numId="29">
    <w:abstractNumId w:val="25"/>
  </w:num>
  <w:num w:numId="30">
    <w:abstractNumId w:val="34"/>
  </w:num>
  <w:num w:numId="31">
    <w:abstractNumId w:val="19"/>
  </w:num>
  <w:num w:numId="32">
    <w:abstractNumId w:val="29"/>
  </w:num>
  <w:num w:numId="33">
    <w:abstractNumId w:val="0"/>
  </w:num>
  <w:num w:numId="34">
    <w:abstractNumId w:val="32"/>
  </w:num>
  <w:num w:numId="35">
    <w:abstractNumId w:val="9"/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48D"/>
    <w:rsid w:val="00231CB6"/>
    <w:rsid w:val="00D64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DE0E0"/>
  <w15:docId w15:val="{48AA6909-4271-4960-A0B8-33A1681BC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pPr>
      <w:spacing w:after="200"/>
    </w:pPr>
    <w:rPr>
      <w:rFonts w:asciiTheme="minorHAnsi" w:eastAsiaTheme="minorHAnsi" w:hAnsiTheme="minorHAnsi" w:cstheme="minorBidi"/>
      <w:sz w:val="20"/>
      <w:szCs w:val="20"/>
      <w:lang w:val="ru-RU"/>
    </w:rPr>
  </w:style>
  <w:style w:type="character" w:customStyle="1" w:styleId="af0">
    <w:name w:val="Текст примечания Знак"/>
    <w:basedOn w:val="a0"/>
    <w:link w:val="af"/>
    <w:uiPriority w:val="99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Pr>
      <w:rFonts w:ascii="Tahoma" w:eastAsiaTheme="minorHAnsi" w:hAnsi="Tahoma" w:cs="Tahoma"/>
      <w:sz w:val="16"/>
      <w:szCs w:val="16"/>
      <w:lang w:val="ru-RU"/>
    </w:rPr>
  </w:style>
  <w:style w:type="character" w:customStyle="1" w:styleId="af4">
    <w:name w:val="Текст выноски Знак"/>
    <w:basedOn w:val="a0"/>
    <w:link w:val="af3"/>
    <w:uiPriority w:val="99"/>
    <w:semiHidden/>
    <w:rPr>
      <w:rFonts w:ascii="Tahoma" w:hAnsi="Tahoma" w:cs="Tahoma"/>
      <w:sz w:val="16"/>
      <w:szCs w:val="16"/>
    </w:rPr>
  </w:style>
  <w:style w:type="table" w:styleId="af5">
    <w:name w:val="Table Grid"/>
    <w:basedOn w:val="a1"/>
    <w:uiPriority w:val="39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Cambria" w:eastAsia="MS Mincho" w:hAnsi="Cambria" w:cs="Times New Roman"/>
      <w:sz w:val="24"/>
      <w:szCs w:val="24"/>
      <w:lang w:val="en-US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Cambria" w:eastAsia="MS Mincho" w:hAnsi="Cambria" w:cs="Times New Roman"/>
      <w:sz w:val="24"/>
      <w:szCs w:val="24"/>
      <w:lang w:val="en-US"/>
    </w:rPr>
  </w:style>
  <w:style w:type="paragraph" w:customStyle="1" w:styleId="Default">
    <w:name w:val="Default"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afb">
    <w:name w:val="Revision"/>
    <w:hidden/>
    <w:uiPriority w:val="99"/>
    <w:semiHidden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paragraph" w:styleId="afd">
    <w:name w:val="footnote text"/>
    <w:basedOn w:val="a"/>
    <w:link w:val="afe"/>
    <w:uiPriority w:val="99"/>
    <w:unhideWhenUsed/>
    <w:qFormat/>
    <w:rPr>
      <w:rFonts w:ascii="Arial" w:eastAsiaTheme="minorEastAsia" w:hAnsi="Arial" w:cstheme="minorBidi"/>
      <w:sz w:val="20"/>
      <w:szCs w:val="20"/>
      <w:lang w:val="ru-RU" w:eastAsia="ru-RU"/>
    </w:rPr>
  </w:style>
  <w:style w:type="character" w:customStyle="1" w:styleId="afe">
    <w:name w:val="Текст сноски Знак"/>
    <w:basedOn w:val="a0"/>
    <w:link w:val="afd"/>
    <w:uiPriority w:val="99"/>
    <w:rPr>
      <w:rFonts w:ascii="Arial" w:eastAsiaTheme="minorEastAsia" w:hAnsi="Arial"/>
      <w:sz w:val="20"/>
      <w:szCs w:val="20"/>
      <w:lang w:eastAsia="ru-RU"/>
    </w:rPr>
  </w:style>
  <w:style w:type="character" w:styleId="aff">
    <w:name w:val="footnote reference"/>
    <w:basedOn w:val="a0"/>
    <w:unhideWhenUsed/>
    <w:qFormat/>
    <w:rPr>
      <w:vertAlign w:val="superscript"/>
    </w:rPr>
  </w:style>
  <w:style w:type="paragraph" w:customStyle="1" w:styleId="aff0">
    <w:name w:val="Текст обычный"/>
    <w:basedOn w:val="a"/>
    <w:link w:val="aff1"/>
    <w:qFormat/>
    <w:pPr>
      <w:ind w:firstLine="709"/>
      <w:jc w:val="both"/>
    </w:pPr>
    <w:rPr>
      <w:rFonts w:ascii="Arial" w:eastAsiaTheme="minorEastAsia" w:hAnsi="Arial" w:cs="Arial"/>
      <w:sz w:val="22"/>
      <w:szCs w:val="22"/>
      <w:lang w:val="ru-RU" w:eastAsia="ru-RU"/>
    </w:rPr>
  </w:style>
  <w:style w:type="character" w:customStyle="1" w:styleId="aff1">
    <w:name w:val="Текст обычный Знак"/>
    <w:basedOn w:val="a0"/>
    <w:link w:val="aff0"/>
    <w:rPr>
      <w:rFonts w:ascii="Arial" w:eastAsiaTheme="minorEastAsia" w:hAnsi="Arial" w:cs="Arial"/>
      <w:lang w:eastAsia="ru-RU"/>
    </w:rPr>
  </w:style>
  <w:style w:type="character" w:styleId="aff2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f3">
    <w:name w:val="endnote text"/>
    <w:basedOn w:val="a"/>
    <w:link w:val="aff4"/>
    <w:uiPriority w:val="99"/>
    <w:semiHidden/>
    <w:unhideWhenUsed/>
    <w:rPr>
      <w:sz w:val="20"/>
      <w:szCs w:val="20"/>
    </w:rPr>
  </w:style>
  <w:style w:type="character" w:customStyle="1" w:styleId="aff4">
    <w:name w:val="Текст концевой сноски Знак"/>
    <w:basedOn w:val="a0"/>
    <w:link w:val="aff3"/>
    <w:uiPriority w:val="99"/>
    <w:semiHidden/>
    <w:rPr>
      <w:rFonts w:ascii="Cambria" w:eastAsia="MS Mincho" w:hAnsi="Cambria" w:cs="Times New Roman"/>
      <w:sz w:val="20"/>
      <w:szCs w:val="20"/>
      <w:lang w:val="en-US"/>
    </w:rPr>
  </w:style>
  <w:style w:type="character" w:styleId="aff5">
    <w:name w:val="end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E907608C0590FA2BFD773258A07D8937ECFD7FDCB5D1BB5241CF758768F780D0982C378C0F93B0M6EAH" TargetMode="External"/><Relationship Id="rId13" Type="http://schemas.openxmlformats.org/officeDocument/2006/relationships/hyperlink" Target="consultantplus://offline/ref=1BC1BBB9FFF42E04B1254D36D8880CD2A8A4B66A853B48F68AE128C2E9AA6BCF211816B8FF5BB845p5xCH" TargetMode="External"/><Relationship Id="rId18" Type="http://schemas.openxmlformats.org/officeDocument/2006/relationships/hyperlink" Target="consultantplus://offline/ref=1BC1BBB9FFF42E04B1254D36D8880CD2A8A4B66A853B48F68AE128C2E9AA6BCF211816B8FF5BBE47p5xFH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1BC1BBB9FFF42E04B1254D36D8880CD2A8A4B66A853B48F68AE128C2E9AA6BCF211816B8FF5BBB42p5xD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BC1BBB9FFF42E04B1254D36D8880CD2A8A4B66A853B48F68AE128C2E9AA6BCF211816B8FF5BB840p5x9H" TargetMode="External"/><Relationship Id="rId17" Type="http://schemas.openxmlformats.org/officeDocument/2006/relationships/hyperlink" Target="consultantplus://offline/ref=1BC1BBB9FFF42E04B1254D36D8880CD2A8A4B66A853B48F68AE128C2E9AA6BCF211816B8FF5BBE41p5x5H" TargetMode="External"/><Relationship Id="rId25" Type="http://schemas.openxmlformats.org/officeDocument/2006/relationships/fontTable" Target="fontTable.xml"/><Relationship Id="rId33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BC1BBB9FFF42E04B1254D36D8880CD2A8A4B66A853B48F68AE128C2E9AA6BCF211816B8FF5BBF4Ap5xFH" TargetMode="External"/><Relationship Id="rId20" Type="http://schemas.openxmlformats.org/officeDocument/2006/relationships/hyperlink" Target="consultantplus://offline/ref=1BC1BBB9FFF42E04B1254D36D8880CD2A8A4B66A853B48F68AE128C2E9AA6BCF211816B8FF5BBB42p5xD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6CCF08B33728AC2B947D8375DCC0726E1CDB9719592BF6A4C7C9D38F486CE2D38A62DD913950A6156A7124A20FAA8390E91EA3C97E1C9305BX0M" TargetMode="External"/><Relationship Id="rId24" Type="http://schemas.openxmlformats.org/officeDocument/2006/relationships/footer" Target="footer2.xml"/><Relationship Id="rId32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BC1BBB9FFF42E04B1254D36D8880CD2A8A4B66A853B48F68AE128C2E9AA6BCF211816B8FF5BBF44p5x5H" TargetMode="External"/><Relationship Id="rId23" Type="http://schemas.openxmlformats.org/officeDocument/2006/relationships/footer" Target="footer1.xml"/><Relationship Id="rId10" Type="http://schemas.openxmlformats.org/officeDocument/2006/relationships/hyperlink" Target="consultantplus://offline/ref=96CCF08B33728AC2B947D8375DCC0726E1CDB9719592BF6A4C7C9D38F486CE2D38A62DD913950A6453A7124A20FAA8390E91EA3C97E1C9305BX0M" TargetMode="External"/><Relationship Id="rId19" Type="http://schemas.openxmlformats.org/officeDocument/2006/relationships/hyperlink" Target="consultantplus://offline/ref=1BC1BBB9FFF42E04B1254D36D8880CD2A8A4B66A853B48F68AE128C2E9AA6BCF211816B8FF5BBE47p5xF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3E907608C0590FA2BFD773258A07D8937ECFD7FDCB5D1BB5241CF758768F780D0982C378C0F93B0M6EAH" TargetMode="External"/><Relationship Id="rId14" Type="http://schemas.openxmlformats.org/officeDocument/2006/relationships/hyperlink" Target="consultantplus://offline/ref=1BC1BBB9FFF42E04B1254D36D8880CD2A8A4B66A853B48F68AE128C2E9AA6BCF211816B8FF5BBF46p5xFH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58BF9-2FF6-4F46-98A0-AB9C4D5EB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11781</Words>
  <Characters>67156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"Пенсионный КапиталЪ"</Company>
  <LinksUpToDate>false</LinksUpToDate>
  <CharactersWithSpaces>78780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Коваленко Т.А.</dc:creator>
  <cp:lastModifiedBy>Хадиева Наталья Владимировна</cp:lastModifiedBy>
  <cp:revision>4</cp:revision>
  <dcterms:created xsi:type="dcterms:W3CDTF">2026-04-23T04:20:00Z</dcterms:created>
  <dcterms:modified xsi:type="dcterms:W3CDTF">2026-05-14T09:03:00Z</dcterms:modified>
</cp:coreProperties>
</file>